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B4AC1" w14:textId="77777777" w:rsidR="00217CFA" w:rsidRPr="00EB1C2D" w:rsidRDefault="00217CFA" w:rsidP="000327A2"/>
    <w:p w14:paraId="5A7FABD9" w14:textId="77777777" w:rsidR="00B5222A" w:rsidRPr="00096A34" w:rsidRDefault="00B5222A" w:rsidP="007F68D7">
      <w:pPr>
        <w:jc w:val="center"/>
        <w:rPr>
          <w:strike/>
        </w:rPr>
      </w:pPr>
    </w:p>
    <w:p w14:paraId="6EF08696" w14:textId="77777777" w:rsidR="00217CFA" w:rsidRDefault="00217CFA" w:rsidP="007F68D7">
      <w:pPr>
        <w:jc w:val="center"/>
      </w:pPr>
    </w:p>
    <w:p w14:paraId="1C6811C5" w14:textId="77777777" w:rsidR="00217CFA" w:rsidRDefault="00217CFA" w:rsidP="007F68D7">
      <w:pPr>
        <w:jc w:val="center"/>
      </w:pPr>
    </w:p>
    <w:p w14:paraId="5F7E6DFC" w14:textId="77777777" w:rsidR="00A55CF6" w:rsidRDefault="00A55CF6" w:rsidP="007F68D7">
      <w:pPr>
        <w:ind w:firstLine="0"/>
        <w:jc w:val="center"/>
        <w:rPr>
          <w:b/>
        </w:rPr>
      </w:pPr>
    </w:p>
    <w:p w14:paraId="104E37F6" w14:textId="0E467179" w:rsidR="00CE6FCB" w:rsidRDefault="004A2F02" w:rsidP="007F68D7">
      <w:pPr>
        <w:ind w:firstLine="0"/>
        <w:jc w:val="center"/>
        <w:rPr>
          <w:b/>
        </w:rPr>
      </w:pPr>
      <w:r>
        <w:rPr>
          <w:b/>
        </w:rPr>
        <w:t>Students’ Engaging School E</w:t>
      </w:r>
      <w:r w:rsidR="001D03D0" w:rsidRPr="007F68D7">
        <w:rPr>
          <w:b/>
        </w:rPr>
        <w:t>xperiences</w:t>
      </w:r>
      <w:r w:rsidR="00CE6FCB">
        <w:rPr>
          <w:b/>
        </w:rPr>
        <w:t>: A</w:t>
      </w:r>
      <w:r>
        <w:rPr>
          <w:b/>
        </w:rPr>
        <w:t xml:space="preserve"> P</w:t>
      </w:r>
      <w:r w:rsidR="001D03D0" w:rsidRPr="007F68D7">
        <w:rPr>
          <w:b/>
        </w:rPr>
        <w:t>recondition</w:t>
      </w:r>
      <w:r w:rsidR="00217CFA">
        <w:rPr>
          <w:b/>
        </w:rPr>
        <w:t xml:space="preserve"> </w:t>
      </w:r>
    </w:p>
    <w:p w14:paraId="23C5A2EC" w14:textId="4550822A" w:rsidR="001D03D0" w:rsidRPr="007F68D7" w:rsidRDefault="004A2F02" w:rsidP="00CE6FCB">
      <w:pPr>
        <w:ind w:firstLine="0"/>
        <w:jc w:val="center"/>
        <w:rPr>
          <w:b/>
        </w:rPr>
      </w:pPr>
      <w:r>
        <w:rPr>
          <w:b/>
        </w:rPr>
        <w:t>for Functional Inclusive P</w:t>
      </w:r>
      <w:r w:rsidR="001D03D0" w:rsidRPr="007F68D7">
        <w:rPr>
          <w:b/>
        </w:rPr>
        <w:t>ractice</w:t>
      </w:r>
    </w:p>
    <w:p w14:paraId="7008074E" w14:textId="77777777" w:rsidR="001D03D0" w:rsidRDefault="001D03D0" w:rsidP="007F68D7"/>
    <w:p w14:paraId="7F0D37CA" w14:textId="77777777" w:rsidR="00217CFA" w:rsidRDefault="00217CFA" w:rsidP="007F68D7"/>
    <w:p w14:paraId="39223559" w14:textId="77777777" w:rsidR="00F2406A" w:rsidRDefault="00F2406A" w:rsidP="007F68D7"/>
    <w:p w14:paraId="70655FA3" w14:textId="77777777" w:rsidR="00F2406A" w:rsidRDefault="00F2406A" w:rsidP="007F68D7"/>
    <w:p w14:paraId="7C12D4EA" w14:textId="77777777" w:rsidR="00217CFA" w:rsidRPr="00D71AD8" w:rsidRDefault="00217CFA" w:rsidP="007F68D7"/>
    <w:p w14:paraId="797F1A01" w14:textId="77777777" w:rsidR="000E32A9" w:rsidRDefault="001D03D0" w:rsidP="007F68D7">
      <w:pPr>
        <w:jc w:val="center"/>
        <w:rPr>
          <w:b/>
        </w:rPr>
      </w:pPr>
      <w:r w:rsidRPr="007F68D7">
        <w:rPr>
          <w:b/>
        </w:rPr>
        <w:t>Marina Helena Palmgren</w:t>
      </w:r>
    </w:p>
    <w:p w14:paraId="1C158217" w14:textId="77777777" w:rsidR="001D03D0" w:rsidRDefault="0064035E" w:rsidP="007F68D7">
      <w:pPr>
        <w:jc w:val="center"/>
        <w:rPr>
          <w:b/>
        </w:rPr>
      </w:pPr>
      <w:r w:rsidRPr="0064035E">
        <w:rPr>
          <w:b/>
        </w:rPr>
        <w:t>University of Helsinki</w:t>
      </w:r>
    </w:p>
    <w:p w14:paraId="002C6B39" w14:textId="77777777" w:rsidR="00F2406A" w:rsidRPr="0063579D" w:rsidRDefault="00F2406A" w:rsidP="007F68D7">
      <w:pPr>
        <w:jc w:val="center"/>
        <w:rPr>
          <w:b/>
        </w:rPr>
      </w:pPr>
    </w:p>
    <w:p w14:paraId="431A2C65" w14:textId="77777777" w:rsidR="000E32A9" w:rsidRPr="0063579D" w:rsidRDefault="0064035E" w:rsidP="007F68D7">
      <w:pPr>
        <w:jc w:val="center"/>
        <w:rPr>
          <w:b/>
        </w:rPr>
      </w:pPr>
      <w:r w:rsidRPr="0064035E">
        <w:rPr>
          <w:b/>
        </w:rPr>
        <w:t>Kirsi Pyhältö</w:t>
      </w:r>
    </w:p>
    <w:p w14:paraId="5E25EB7E" w14:textId="77777777" w:rsidR="000E32A9" w:rsidRDefault="001D03D0" w:rsidP="007F68D7">
      <w:pPr>
        <w:jc w:val="center"/>
        <w:rPr>
          <w:b/>
        </w:rPr>
      </w:pPr>
      <w:r w:rsidRPr="00B46E6F">
        <w:rPr>
          <w:b/>
        </w:rPr>
        <w:t>University of Helsinki</w:t>
      </w:r>
      <w:r w:rsidR="00B46E6F" w:rsidRPr="00B46E6F">
        <w:rPr>
          <w:b/>
        </w:rPr>
        <w:t>, University of Oulu</w:t>
      </w:r>
    </w:p>
    <w:p w14:paraId="6FC82FF7" w14:textId="77777777" w:rsidR="00F2406A" w:rsidRPr="00B46E6F" w:rsidRDefault="00F2406A" w:rsidP="007F68D7">
      <w:pPr>
        <w:jc w:val="center"/>
        <w:rPr>
          <w:b/>
        </w:rPr>
      </w:pPr>
    </w:p>
    <w:p w14:paraId="6DE505D9" w14:textId="77777777" w:rsidR="000E32A9" w:rsidRPr="00AC7BAD" w:rsidRDefault="001D03D0" w:rsidP="007F68D7">
      <w:pPr>
        <w:jc w:val="center"/>
        <w:rPr>
          <w:b/>
          <w:lang w:val="fi-FI"/>
        </w:rPr>
      </w:pPr>
      <w:r w:rsidRPr="00AC7BAD">
        <w:rPr>
          <w:b/>
          <w:lang w:val="fi-FI"/>
        </w:rPr>
        <w:t>Tiina Soini</w:t>
      </w:r>
    </w:p>
    <w:p w14:paraId="061E3E10" w14:textId="77777777" w:rsidR="000E32A9" w:rsidRDefault="0064035E" w:rsidP="007F68D7">
      <w:pPr>
        <w:jc w:val="center"/>
        <w:rPr>
          <w:b/>
          <w:lang w:val="fi-FI"/>
        </w:rPr>
      </w:pPr>
      <w:r w:rsidRPr="0064035E">
        <w:rPr>
          <w:b/>
          <w:lang w:val="fi-FI"/>
        </w:rPr>
        <w:t>University of Tampere</w:t>
      </w:r>
    </w:p>
    <w:p w14:paraId="513F9266" w14:textId="77777777" w:rsidR="00F2406A" w:rsidRPr="0063579D" w:rsidRDefault="00F2406A" w:rsidP="007F68D7">
      <w:pPr>
        <w:jc w:val="center"/>
        <w:rPr>
          <w:b/>
          <w:lang w:val="fi-FI"/>
        </w:rPr>
      </w:pPr>
    </w:p>
    <w:p w14:paraId="0EE041CD" w14:textId="77777777" w:rsidR="000E32A9" w:rsidRPr="0063579D" w:rsidRDefault="0064035E" w:rsidP="007F68D7">
      <w:pPr>
        <w:jc w:val="center"/>
        <w:rPr>
          <w:b/>
          <w:lang w:val="fi-FI"/>
        </w:rPr>
      </w:pPr>
      <w:r w:rsidRPr="0064035E">
        <w:rPr>
          <w:b/>
          <w:lang w:val="fi-FI"/>
        </w:rPr>
        <w:t>Janne Pietarinen</w:t>
      </w:r>
    </w:p>
    <w:p w14:paraId="4C491AC8" w14:textId="77777777" w:rsidR="001D03D0" w:rsidRPr="007F68D7" w:rsidRDefault="001D03D0" w:rsidP="007F68D7">
      <w:pPr>
        <w:jc w:val="center"/>
        <w:rPr>
          <w:b/>
        </w:rPr>
      </w:pPr>
      <w:r w:rsidRPr="007F68D7">
        <w:rPr>
          <w:b/>
        </w:rPr>
        <w:t>University of Eastern Finland</w:t>
      </w:r>
    </w:p>
    <w:p w14:paraId="2B95452C" w14:textId="77777777" w:rsidR="00217CFA" w:rsidRDefault="00217CFA" w:rsidP="007F68D7"/>
    <w:p w14:paraId="188B6CA6" w14:textId="77777777" w:rsidR="00217CFA" w:rsidRPr="002757FA" w:rsidRDefault="00217CFA" w:rsidP="007F68D7">
      <w:pPr>
        <w:rPr>
          <w:color w:val="0000FF" w:themeColor="hyperlink"/>
          <w:u w:val="single"/>
        </w:rPr>
      </w:pPr>
    </w:p>
    <w:p w14:paraId="37D3D09B" w14:textId="77777777" w:rsidR="00217CFA" w:rsidRDefault="00217CFA" w:rsidP="007F68D7"/>
    <w:p w14:paraId="53F69BE8" w14:textId="77777777" w:rsidR="00217CFA" w:rsidRDefault="00217CFA" w:rsidP="007F68D7"/>
    <w:p w14:paraId="36C7E5B4" w14:textId="77777777" w:rsidR="00217CFA" w:rsidRPr="00D71AD8" w:rsidRDefault="00217CFA" w:rsidP="007F68D7"/>
    <w:p w14:paraId="2DC3FCBD" w14:textId="77777777" w:rsidR="00AF1A74" w:rsidRDefault="001D03D0" w:rsidP="007F68D7">
      <w:r w:rsidRPr="00D71AD8">
        <w:t>Correspondence to</w:t>
      </w:r>
      <w:r w:rsidR="00AF1A74">
        <w:t>:</w:t>
      </w:r>
    </w:p>
    <w:p w14:paraId="52C3AA0A" w14:textId="77777777" w:rsidR="00AF1A74" w:rsidRPr="0063579D" w:rsidRDefault="0064035E" w:rsidP="007F68D7">
      <w:pPr>
        <w:rPr>
          <w:lang w:val="fi-FI"/>
        </w:rPr>
      </w:pPr>
      <w:r w:rsidRPr="0064035E">
        <w:rPr>
          <w:lang w:val="fi-FI"/>
        </w:rPr>
        <w:t>Marina Palmgren</w:t>
      </w:r>
    </w:p>
    <w:p w14:paraId="375F1122" w14:textId="77777777" w:rsidR="00AF1A74" w:rsidRPr="0063579D" w:rsidRDefault="0064035E" w:rsidP="007F68D7">
      <w:pPr>
        <w:rPr>
          <w:lang w:val="fi-FI"/>
        </w:rPr>
      </w:pPr>
      <w:r w:rsidRPr="0064035E">
        <w:rPr>
          <w:lang w:val="fi-FI"/>
        </w:rPr>
        <w:t>Ulvilantie 5 A 3, FIN- 00350 Helsinki.</w:t>
      </w:r>
    </w:p>
    <w:p w14:paraId="5521147A" w14:textId="77777777" w:rsidR="001D03D0" w:rsidRPr="00AC7BAD" w:rsidRDefault="001D03D0" w:rsidP="007F68D7">
      <w:r w:rsidRPr="00AC7BAD">
        <w:t xml:space="preserve">E-mail: marina.palmgren@helsinki.fi </w:t>
      </w:r>
    </w:p>
    <w:p w14:paraId="711B5EF7" w14:textId="77777777" w:rsidR="001D03D0" w:rsidRPr="00AC7BAD" w:rsidRDefault="001D03D0" w:rsidP="007F68D7"/>
    <w:p w14:paraId="421710FB" w14:textId="77777777" w:rsidR="001D03D0" w:rsidRDefault="001D03D0" w:rsidP="007F68D7"/>
    <w:p w14:paraId="09F352B7" w14:textId="77777777" w:rsidR="001D03D0" w:rsidRDefault="001D03D0" w:rsidP="007F68D7"/>
    <w:p w14:paraId="56B8EEAD" w14:textId="77777777" w:rsidR="001D03D0" w:rsidRDefault="001D03D0" w:rsidP="007F68D7"/>
    <w:p w14:paraId="0FA94588" w14:textId="77777777" w:rsidR="007F68D7" w:rsidRDefault="007F68D7" w:rsidP="007F68D7"/>
    <w:p w14:paraId="6BDD2E59" w14:textId="77777777" w:rsidR="007F68D7" w:rsidRPr="00AB7D6E" w:rsidRDefault="007F68D7" w:rsidP="007F68D7">
      <w:pPr>
        <w:ind w:firstLine="0"/>
        <w:jc w:val="both"/>
        <w:rPr>
          <w:b/>
        </w:rPr>
      </w:pPr>
    </w:p>
    <w:p w14:paraId="1F47F229" w14:textId="77777777" w:rsidR="001D03D0" w:rsidRPr="007F68D7" w:rsidRDefault="001D03D0" w:rsidP="007F68D7">
      <w:pPr>
        <w:rPr>
          <w:b/>
        </w:rPr>
      </w:pPr>
    </w:p>
    <w:p w14:paraId="2621E30A" w14:textId="77777777" w:rsidR="00F2406A" w:rsidRDefault="00997091" w:rsidP="00F2406A">
      <w:pPr>
        <w:ind w:firstLine="0"/>
      </w:pPr>
      <w:r>
        <w:rPr>
          <w:b/>
          <w:color w:val="000000"/>
          <w:szCs w:val="24"/>
        </w:rPr>
        <w:t xml:space="preserve">Author note: </w:t>
      </w:r>
      <w:r w:rsidR="00F2406A" w:rsidRPr="00D71AD8">
        <w:t>This research was supported by the Foundation of Oskar Öflund and Svenska Kulturfonden.</w:t>
      </w:r>
    </w:p>
    <w:p w14:paraId="7D0FCFCB" w14:textId="77777777" w:rsidR="001D03D0" w:rsidRDefault="001D03D0" w:rsidP="007F68D7"/>
    <w:p w14:paraId="62A3A4CB" w14:textId="77777777" w:rsidR="001D03D0" w:rsidRDefault="001D03D0" w:rsidP="007F68D7"/>
    <w:p w14:paraId="3AF5D7F0" w14:textId="77777777" w:rsidR="00EE132D" w:rsidRDefault="001609CD" w:rsidP="007F68D7">
      <w:r>
        <w:rPr>
          <w:noProof/>
        </w:rPr>
        <w:pict w14:anchorId="35D6235C">
          <v:shapetype id="_x0000_t202" coordsize="21600,21600" o:spt="202" path="m,l,21600r21600,l21600,xe">
            <v:stroke joinstyle="miter"/>
            <v:path gradientshapeok="t" o:connecttype="rect"/>
          </v:shapetype>
          <v:shape id="Tekstiruutu 2" o:spid="_x0000_s1026" type="#_x0000_t202" style="position:absolute;left:0;text-align:left;margin-left:51.55pt;margin-top:5.05pt;width:377.6pt;height:73.2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">
            <v:textbox>
              <w:txbxContent>
                <w:p w14:paraId="476CE70D" w14:textId="2632882D" w:rsidR="001609CD" w:rsidRPr="00F2406A" w:rsidRDefault="001609CD" w:rsidP="007F68D7">
                  <w:pPr>
                    <w:ind w:firstLine="0"/>
                    <w:jc w:val="both"/>
                    <w:rPr>
                      <w:i/>
                    </w:rPr>
                  </w:pPr>
                  <w:r w:rsidRPr="00F2406A">
                    <w:t>To cite this article: Palmgren, M.H., Pyhältö, K., Soini, T. &amp; Pietarinen, J. (</w:t>
                  </w:r>
                  <w:r>
                    <w:t xml:space="preserve">January, </w:t>
                  </w:r>
                  <w:r w:rsidRPr="00F2406A">
                    <w:t xml:space="preserve">2017). Students’ engaging school experiences: A precondition for functional inclusive practice.  </w:t>
                  </w:r>
                  <w:r w:rsidRPr="00F2406A">
                    <w:rPr>
                      <w:i/>
                    </w:rPr>
                    <w:t xml:space="preserve">International Journal of Whole Schooling, </w:t>
                  </w:r>
                  <w:r w:rsidRPr="00081131">
                    <w:t>Special Issue</w:t>
                  </w:r>
                  <w:r w:rsidRPr="00F2406A">
                    <w:rPr>
                      <w:i/>
                    </w:rPr>
                    <w:t>, 26-</w:t>
                  </w:r>
                  <w:r>
                    <w:rPr>
                      <w:i/>
                    </w:rPr>
                    <w:t>49.</w:t>
                  </w:r>
                </w:p>
              </w:txbxContent>
            </v:textbox>
            <w10:wrap type="square"/>
          </v:shape>
        </w:pict>
      </w:r>
    </w:p>
    <w:p w14:paraId="0469E403" w14:textId="77777777" w:rsidR="00EE132D" w:rsidRDefault="00EE132D" w:rsidP="007F68D7"/>
    <w:p w14:paraId="6D5D080D" w14:textId="77777777" w:rsidR="00EE132D" w:rsidRDefault="00EE132D" w:rsidP="007F68D7"/>
    <w:p w14:paraId="250AC712" w14:textId="77777777" w:rsidR="00EE132D" w:rsidRDefault="00EE132D" w:rsidP="007F68D7">
      <w:pPr>
        <w:jc w:val="both"/>
      </w:pPr>
    </w:p>
    <w:p w14:paraId="2983CA31" w14:textId="77777777" w:rsidR="00EE132D" w:rsidRDefault="00EE132D" w:rsidP="007F68D7">
      <w:pPr>
        <w:jc w:val="both"/>
      </w:pPr>
    </w:p>
    <w:p w14:paraId="3FF08CAC" w14:textId="77777777" w:rsidR="00EE132D" w:rsidRDefault="00EE132D" w:rsidP="007F68D7">
      <w:pPr>
        <w:jc w:val="both"/>
      </w:pPr>
    </w:p>
    <w:p w14:paraId="0A517848" w14:textId="77777777" w:rsidR="00EE132D" w:rsidRDefault="00EE132D" w:rsidP="007F68D7">
      <w:pPr>
        <w:jc w:val="both"/>
      </w:pPr>
    </w:p>
    <w:p w14:paraId="728014CE" w14:textId="77777777" w:rsidR="00EE132D" w:rsidRDefault="00EE132D" w:rsidP="007F68D7">
      <w:pPr>
        <w:jc w:val="both"/>
      </w:pPr>
    </w:p>
    <w:p w14:paraId="36AB1AF2" w14:textId="77777777" w:rsidR="00EE132D" w:rsidRDefault="00EE132D" w:rsidP="007F68D7">
      <w:pPr>
        <w:jc w:val="both"/>
      </w:pPr>
    </w:p>
    <w:p w14:paraId="5D359658" w14:textId="77777777" w:rsidR="00A21D46" w:rsidRDefault="009B7A12" w:rsidP="00997091">
      <w:pPr>
        <w:jc w:val="center"/>
        <w:rPr>
          <w:rFonts w:cs="Times New Roman"/>
          <w:b/>
        </w:rPr>
      </w:pPr>
      <w:r w:rsidRPr="000229B9">
        <w:rPr>
          <w:rFonts w:cs="Times New Roman"/>
          <w:b/>
        </w:rPr>
        <w:t>A</w:t>
      </w:r>
      <w:r w:rsidR="008D707D" w:rsidRPr="000229B9">
        <w:rPr>
          <w:rFonts w:cs="Times New Roman"/>
          <w:b/>
        </w:rPr>
        <w:t>bstract</w:t>
      </w:r>
    </w:p>
    <w:p w14:paraId="6BD5A567" w14:textId="77777777" w:rsidR="00997091" w:rsidRPr="000229B9" w:rsidRDefault="00997091" w:rsidP="00997091">
      <w:pPr>
        <w:jc w:val="center"/>
        <w:rPr>
          <w:rFonts w:cs="Times New Roman"/>
          <w:b/>
        </w:rPr>
      </w:pPr>
    </w:p>
    <w:p w14:paraId="7E374EC9" w14:textId="77777777" w:rsidR="00EE132D" w:rsidRDefault="008D707D" w:rsidP="00997091">
      <w:pPr>
        <w:pStyle w:val="BodyTextIndent"/>
        <w:spacing w:line="240" w:lineRule="auto"/>
      </w:pPr>
      <w:r w:rsidRPr="003F0FA3">
        <w:t xml:space="preserve">Basic education strives to provide an equal education </w:t>
      </w:r>
      <w:r>
        <w:t>for</w:t>
      </w:r>
      <w:r w:rsidRPr="003F0FA3">
        <w:t xml:space="preserve"> all students</w:t>
      </w:r>
      <w:r>
        <w:t>,</w:t>
      </w:r>
      <w:r w:rsidRPr="007236CC">
        <w:t xml:space="preserve"> </w:t>
      </w:r>
      <w:r w:rsidRPr="003F0FA3">
        <w:t xml:space="preserve">whether the students </w:t>
      </w:r>
      <w:r w:rsidR="00EA0C6E" w:rsidRPr="00872623">
        <w:t xml:space="preserve">attend </w:t>
      </w:r>
      <w:r w:rsidRPr="00872623">
        <w:t>regular or special education.</w:t>
      </w:r>
      <w:r w:rsidRPr="003F0FA3">
        <w:t xml:space="preserve"> In this study, we explore seventh</w:t>
      </w:r>
      <w:r w:rsidR="003802F1">
        <w:t xml:space="preserve"> </w:t>
      </w:r>
      <w:r w:rsidRPr="003F0FA3">
        <w:t>grade comprehensive school students’ (N=119) experience</w:t>
      </w:r>
      <w:r>
        <w:t>s</w:t>
      </w:r>
      <w:r w:rsidRPr="003F0FA3">
        <w:t xml:space="preserve"> of engaging and</w:t>
      </w:r>
      <w:r w:rsidR="00E447E2">
        <w:t xml:space="preserve"> d</w:t>
      </w:r>
      <w:r w:rsidRPr="003F0FA3">
        <w:t>isengaging events at school</w:t>
      </w:r>
      <w:r>
        <w:t xml:space="preserve"> </w:t>
      </w:r>
      <w:r w:rsidRPr="003F0FA3">
        <w:t xml:space="preserve">and </w:t>
      </w:r>
      <w:r>
        <w:t>the</w:t>
      </w:r>
      <w:r w:rsidRPr="003F0FA3">
        <w:t xml:space="preserve"> point</w:t>
      </w:r>
      <w:r>
        <w:t>s at which these events occur</w:t>
      </w:r>
      <w:r w:rsidRPr="003F0FA3">
        <w:t xml:space="preserve"> in their school career. </w:t>
      </w:r>
      <w:r>
        <w:t>The</w:t>
      </w:r>
      <w:r w:rsidRPr="003F0FA3">
        <w:t xml:space="preserve"> </w:t>
      </w:r>
      <w:r w:rsidRPr="00872623">
        <w:t>students represent Finland-Swedish-speaking</w:t>
      </w:r>
      <w:r w:rsidRPr="003F0FA3">
        <w:t xml:space="preserve"> students in Finland, and 95 of the participants attend </w:t>
      </w:r>
      <w:r>
        <w:t>general</w:t>
      </w:r>
      <w:r w:rsidRPr="003F0FA3">
        <w:t xml:space="preserve"> education</w:t>
      </w:r>
      <w:r>
        <w:t>,</w:t>
      </w:r>
      <w:r w:rsidRPr="003F0FA3">
        <w:t xml:space="preserve"> while 24 students have received special educational </w:t>
      </w:r>
      <w:r>
        <w:t>services</w:t>
      </w:r>
      <w:r w:rsidR="00995271">
        <w:t>.</w:t>
      </w:r>
      <w:r w:rsidRPr="003F0FA3">
        <w:t xml:space="preserve"> </w:t>
      </w:r>
      <w:r w:rsidR="00D6725E" w:rsidRPr="00872623">
        <w:t xml:space="preserve">Two aspects of the students’ school experiences </w:t>
      </w:r>
      <w:r w:rsidR="009953AE" w:rsidRPr="00872623">
        <w:t>were</w:t>
      </w:r>
      <w:r w:rsidR="00D6725E" w:rsidRPr="00872623">
        <w:t xml:space="preserve"> empirically examined: (1) determining the point in the students’ school career at which critical incidents occur and (2) identifying the primary contexts of critical incidents.</w:t>
      </w:r>
      <w:r w:rsidR="00D6725E" w:rsidRPr="003F0FA3">
        <w:t xml:space="preserve"> </w:t>
      </w:r>
      <w:r w:rsidRPr="003F0FA3">
        <w:t xml:space="preserve">The results show that critical incidents </w:t>
      </w:r>
      <w:r>
        <w:t>occurred</w:t>
      </w:r>
      <w:r w:rsidRPr="003F0FA3">
        <w:t xml:space="preserve"> during </w:t>
      </w:r>
      <w:r>
        <w:t>the students’</w:t>
      </w:r>
      <w:r w:rsidRPr="003F0FA3">
        <w:t xml:space="preserve"> entire school career</w:t>
      </w:r>
      <w:r w:rsidR="00610E55">
        <w:t xml:space="preserve"> with an increase in sixth grade.</w:t>
      </w:r>
      <w:r>
        <w:t xml:space="preserve"> </w:t>
      </w:r>
      <w:r w:rsidR="00610E55" w:rsidRPr="00872623">
        <w:t xml:space="preserve">Students perceived peer interaction as being the most positive as well as the most problematic part of their school </w:t>
      </w:r>
      <w:r w:rsidR="00610E55" w:rsidRPr="00D93E1E">
        <w:t xml:space="preserve">career. </w:t>
      </w:r>
      <w:r w:rsidR="00A26F7F" w:rsidRPr="00D93E1E">
        <w:t>In conclusion, both students in regular education and students receiving special educational services experienced the sense of belonging as an inclusive school experience in their learning path.</w:t>
      </w:r>
      <w:r w:rsidR="00A26F7F">
        <w:t xml:space="preserve"> </w:t>
      </w:r>
      <w:r w:rsidR="00610E55" w:rsidRPr="00872623">
        <w:t xml:space="preserve">Results indicated that no differences in experiences </w:t>
      </w:r>
      <w:r w:rsidR="003F6C1E">
        <w:t xml:space="preserve">that </w:t>
      </w:r>
      <w:r w:rsidR="00610E55" w:rsidRPr="00872623">
        <w:t>were found between general education students and students w</w:t>
      </w:r>
      <w:r w:rsidR="003F6C1E">
        <w:t>ho received</w:t>
      </w:r>
      <w:r w:rsidR="00610E55" w:rsidRPr="00872623">
        <w:t xml:space="preserve"> special </w:t>
      </w:r>
      <w:r w:rsidR="003F6C1E">
        <w:t>educational services</w:t>
      </w:r>
      <w:r w:rsidR="00610E55" w:rsidRPr="00872623">
        <w:t>. Implications for research and practice are discussed.</w:t>
      </w:r>
    </w:p>
    <w:p w14:paraId="2AD6644A" w14:textId="77777777" w:rsidR="004E2C08" w:rsidRDefault="004E2C08" w:rsidP="00997091">
      <w:pPr>
        <w:rPr>
          <w:rFonts w:cs="Times New Roman"/>
          <w:szCs w:val="24"/>
        </w:rPr>
      </w:pPr>
    </w:p>
    <w:p w14:paraId="7DD23AAE" w14:textId="77777777" w:rsidR="008D707D" w:rsidRDefault="008D707D" w:rsidP="00997091">
      <w:pPr>
        <w:rPr>
          <w:rFonts w:cs="Times New Roman"/>
          <w:szCs w:val="24"/>
        </w:rPr>
      </w:pPr>
      <w:r w:rsidRPr="007F68D7">
        <w:rPr>
          <w:rFonts w:cs="Times New Roman"/>
          <w:b/>
          <w:i/>
          <w:szCs w:val="24"/>
        </w:rPr>
        <w:t>Keywords</w:t>
      </w:r>
      <w:r w:rsidRPr="00FC5E8F">
        <w:rPr>
          <w:rFonts w:cs="Times New Roman"/>
          <w:i/>
          <w:szCs w:val="24"/>
        </w:rPr>
        <w:t>:</w:t>
      </w:r>
      <w:r w:rsidR="003F6C1E">
        <w:rPr>
          <w:rFonts w:cs="Times New Roman"/>
          <w:i/>
          <w:szCs w:val="24"/>
        </w:rPr>
        <w:t xml:space="preserve"> </w:t>
      </w:r>
      <w:r w:rsidRPr="003F0FA3">
        <w:rPr>
          <w:rFonts w:cs="Times New Roman"/>
          <w:szCs w:val="24"/>
        </w:rPr>
        <w:t xml:space="preserve">students with special needs; </w:t>
      </w:r>
      <w:r>
        <w:rPr>
          <w:rFonts w:cs="Times New Roman"/>
          <w:szCs w:val="24"/>
        </w:rPr>
        <w:t>general education</w:t>
      </w:r>
      <w:r w:rsidRPr="003F0FA3">
        <w:rPr>
          <w:rFonts w:cs="Times New Roman"/>
          <w:szCs w:val="24"/>
        </w:rPr>
        <w:t xml:space="preserve"> students; school engagement</w:t>
      </w:r>
      <w:r w:rsidR="00995271">
        <w:rPr>
          <w:rFonts w:cs="Times New Roman"/>
          <w:szCs w:val="24"/>
        </w:rPr>
        <w:t xml:space="preserve">, </w:t>
      </w:r>
      <w:r w:rsidR="00995271" w:rsidRPr="00872623">
        <w:rPr>
          <w:rFonts w:cs="Times New Roman"/>
          <w:szCs w:val="24"/>
        </w:rPr>
        <w:t>school experiences.</w:t>
      </w:r>
    </w:p>
    <w:p w14:paraId="05221036" w14:textId="77777777" w:rsidR="008D707D" w:rsidRDefault="008D707D" w:rsidP="00997091">
      <w:pPr>
        <w:rPr>
          <w:b/>
          <w:szCs w:val="24"/>
        </w:rPr>
      </w:pPr>
    </w:p>
    <w:p w14:paraId="06D4A9C8" w14:textId="77777777" w:rsidR="008D707D" w:rsidRDefault="008D707D" w:rsidP="009379A7">
      <w:pPr>
        <w:spacing w:line="360" w:lineRule="auto"/>
        <w:rPr>
          <w:b/>
          <w:szCs w:val="24"/>
        </w:rPr>
      </w:pPr>
    </w:p>
    <w:p w14:paraId="2782200B" w14:textId="77777777" w:rsidR="008D707D" w:rsidRDefault="008D707D" w:rsidP="003F389B">
      <w:pPr>
        <w:rPr>
          <w:b/>
          <w:szCs w:val="24"/>
        </w:rPr>
      </w:pPr>
    </w:p>
    <w:p w14:paraId="46141D4A" w14:textId="77777777" w:rsidR="003F389B" w:rsidRDefault="003F389B" w:rsidP="003F389B">
      <w:pPr>
        <w:rPr>
          <w:b/>
          <w:szCs w:val="24"/>
        </w:rPr>
      </w:pPr>
    </w:p>
    <w:p w14:paraId="0CB46AD1" w14:textId="77777777" w:rsidR="003F389B" w:rsidRDefault="003F389B" w:rsidP="003F389B">
      <w:pPr>
        <w:rPr>
          <w:b/>
          <w:szCs w:val="24"/>
        </w:rPr>
      </w:pPr>
    </w:p>
    <w:p w14:paraId="0072799E" w14:textId="77777777" w:rsidR="003F389B" w:rsidRDefault="003F389B" w:rsidP="003F389B">
      <w:pPr>
        <w:rPr>
          <w:b/>
          <w:szCs w:val="24"/>
        </w:rPr>
      </w:pPr>
    </w:p>
    <w:p w14:paraId="42B063E3" w14:textId="77777777" w:rsidR="003F389B" w:rsidRDefault="003F389B" w:rsidP="003F389B">
      <w:pPr>
        <w:rPr>
          <w:b/>
          <w:szCs w:val="24"/>
        </w:rPr>
      </w:pPr>
    </w:p>
    <w:p w14:paraId="03F4CBDE" w14:textId="77777777" w:rsidR="003F389B" w:rsidRDefault="003F389B" w:rsidP="003F389B">
      <w:pPr>
        <w:rPr>
          <w:b/>
          <w:szCs w:val="24"/>
        </w:rPr>
      </w:pPr>
    </w:p>
    <w:p w14:paraId="613DBEC4" w14:textId="77777777" w:rsidR="003F389B" w:rsidRDefault="003F389B" w:rsidP="003F389B">
      <w:pPr>
        <w:rPr>
          <w:b/>
          <w:szCs w:val="24"/>
        </w:rPr>
      </w:pPr>
    </w:p>
    <w:p w14:paraId="18CC4B1C" w14:textId="77777777" w:rsidR="003F389B" w:rsidRDefault="003F389B" w:rsidP="003F389B">
      <w:pPr>
        <w:rPr>
          <w:b/>
          <w:szCs w:val="24"/>
        </w:rPr>
      </w:pPr>
    </w:p>
    <w:p w14:paraId="706A25D8" w14:textId="77777777" w:rsidR="003F389B" w:rsidRDefault="003F389B" w:rsidP="003F389B">
      <w:pPr>
        <w:rPr>
          <w:b/>
          <w:szCs w:val="24"/>
        </w:rPr>
      </w:pPr>
    </w:p>
    <w:p w14:paraId="333AC3E9" w14:textId="77777777" w:rsidR="003F389B" w:rsidRDefault="003F389B" w:rsidP="003F389B">
      <w:pPr>
        <w:rPr>
          <w:b/>
          <w:szCs w:val="24"/>
        </w:rPr>
      </w:pPr>
    </w:p>
    <w:p w14:paraId="707A7F9C" w14:textId="77777777" w:rsidR="003F389B" w:rsidRDefault="003F389B" w:rsidP="003F389B">
      <w:pPr>
        <w:rPr>
          <w:b/>
          <w:szCs w:val="24"/>
        </w:rPr>
      </w:pPr>
    </w:p>
    <w:p w14:paraId="267E65D4" w14:textId="77777777" w:rsidR="003F389B" w:rsidRDefault="003F389B" w:rsidP="003F389B">
      <w:pPr>
        <w:rPr>
          <w:b/>
          <w:szCs w:val="24"/>
        </w:rPr>
      </w:pPr>
    </w:p>
    <w:p w14:paraId="5A154E0E" w14:textId="77777777" w:rsidR="00EE132D" w:rsidRDefault="00EE132D" w:rsidP="003F389B">
      <w:pPr>
        <w:rPr>
          <w:b/>
          <w:szCs w:val="24"/>
        </w:rPr>
      </w:pPr>
    </w:p>
    <w:p w14:paraId="7E605955" w14:textId="77777777" w:rsidR="00EE132D" w:rsidRDefault="00EE132D" w:rsidP="003F389B">
      <w:pPr>
        <w:rPr>
          <w:b/>
          <w:szCs w:val="24"/>
        </w:rPr>
      </w:pPr>
    </w:p>
    <w:p w14:paraId="51500172" w14:textId="77777777" w:rsidR="00EE132D" w:rsidRDefault="00EE132D" w:rsidP="003F389B">
      <w:pPr>
        <w:rPr>
          <w:b/>
          <w:szCs w:val="24"/>
        </w:rPr>
      </w:pPr>
    </w:p>
    <w:p w14:paraId="05545E17" w14:textId="77777777" w:rsidR="00997091" w:rsidRDefault="00997091">
      <w:pPr>
        <w:spacing w:after="200" w:line="276" w:lineRule="auto"/>
        <w:ind w:firstLine="0"/>
        <w:rPr>
          <w:b/>
        </w:rPr>
      </w:pPr>
      <w:r>
        <w:rPr>
          <w:b/>
        </w:rPr>
        <w:br w:type="page"/>
      </w:r>
    </w:p>
    <w:p w14:paraId="10AA4C82" w14:textId="77777777" w:rsidR="00FB091E" w:rsidRDefault="009D2028" w:rsidP="00997091">
      <w:pPr>
        <w:jc w:val="center"/>
        <w:rPr>
          <w:b/>
        </w:rPr>
      </w:pPr>
      <w:r w:rsidRPr="000229B9">
        <w:rPr>
          <w:b/>
        </w:rPr>
        <w:lastRenderedPageBreak/>
        <w:t>Introduction</w:t>
      </w:r>
    </w:p>
    <w:p w14:paraId="7045DAE2" w14:textId="77777777" w:rsidR="00997091" w:rsidRDefault="00997091" w:rsidP="00997091">
      <w:pPr>
        <w:jc w:val="center"/>
        <w:rPr>
          <w:rFonts w:cs="Times New Roman"/>
          <w:b/>
          <w:szCs w:val="24"/>
        </w:rPr>
      </w:pPr>
    </w:p>
    <w:p w14:paraId="42EB1121" w14:textId="77777777" w:rsidR="00FB091E" w:rsidRDefault="009D2028" w:rsidP="00997091">
      <w:r w:rsidRPr="003F0FA3">
        <w:t>School provides a central developmental context for children (Eccles, 2004; Reschly, Huebner, Appleton</w:t>
      </w:r>
      <w:r w:rsidR="00FD0947" w:rsidRPr="000D424C">
        <w:t>,</w:t>
      </w:r>
      <w:r w:rsidRPr="000D424C">
        <w:t xml:space="preserve"> &amp; Antaramian, 2008). School experiences have a significant impact on student well-being (</w:t>
      </w:r>
      <w:r w:rsidR="00F97BAD">
        <w:t xml:space="preserve">Pyhältö, Soini, &amp; Pietarinen, </w:t>
      </w:r>
      <w:r w:rsidRPr="000D424C">
        <w:t>2010) and on students’ health, behavior, and interpersonal relationships (Ma</w:t>
      </w:r>
      <w:r w:rsidR="00884D64" w:rsidRPr="000D424C">
        <w:t>,</w:t>
      </w:r>
      <w:r w:rsidRPr="000D424C">
        <w:t xml:space="preserve"> 2007). </w:t>
      </w:r>
      <w:r w:rsidR="009953AE">
        <w:t>T</w:t>
      </w:r>
      <w:r w:rsidRPr="000D424C">
        <w:t xml:space="preserve">he </w:t>
      </w:r>
      <w:r w:rsidRPr="000D424C">
        <w:rPr>
          <w:rFonts w:cs="Times New Roman"/>
        </w:rPr>
        <w:t>quality of school experiences</w:t>
      </w:r>
      <w:r w:rsidR="009953AE">
        <w:rPr>
          <w:rFonts w:cs="Times New Roman"/>
        </w:rPr>
        <w:t xml:space="preserve"> also</w:t>
      </w:r>
      <w:r w:rsidRPr="000D424C">
        <w:rPr>
          <w:rFonts w:cs="Times New Roman"/>
        </w:rPr>
        <w:t xml:space="preserve"> contributes to </w:t>
      </w:r>
      <w:r w:rsidR="008502A9" w:rsidRPr="000D424C">
        <w:rPr>
          <w:rFonts w:cs="Times New Roman"/>
        </w:rPr>
        <w:t>learning outcomes</w:t>
      </w:r>
      <w:r w:rsidRPr="000D424C">
        <w:rPr>
          <w:rFonts w:cs="Times New Roman"/>
        </w:rPr>
        <w:t xml:space="preserve"> (Martin, Anderson, Bobis, &amp; Way, 2011; Upadyaya &amp; Salmela-Aro, 2011). However, we are lacking sufficient understanding o</w:t>
      </w:r>
      <w:r w:rsidR="00DD6052" w:rsidRPr="000D424C">
        <w:rPr>
          <w:rFonts w:cs="Times New Roman"/>
        </w:rPr>
        <w:t>f</w:t>
      </w:r>
      <w:r w:rsidRPr="000D424C">
        <w:rPr>
          <w:rFonts w:cs="Times New Roman"/>
        </w:rPr>
        <w:t xml:space="preserve"> the </w:t>
      </w:r>
      <w:r w:rsidR="00C50876" w:rsidRPr="000D424C">
        <w:rPr>
          <w:rFonts w:cs="Times New Roman"/>
        </w:rPr>
        <w:t>school</w:t>
      </w:r>
      <w:r w:rsidR="00F6015D" w:rsidRPr="000D424C">
        <w:rPr>
          <w:rFonts w:cs="Times New Roman"/>
        </w:rPr>
        <w:t>-</w:t>
      </w:r>
      <w:r w:rsidR="00C50876" w:rsidRPr="000D424C">
        <w:rPr>
          <w:rFonts w:cs="Times New Roman"/>
        </w:rPr>
        <w:t xml:space="preserve">related </w:t>
      </w:r>
      <w:r w:rsidRPr="000D424C">
        <w:rPr>
          <w:rFonts w:cs="Times New Roman"/>
        </w:rPr>
        <w:t xml:space="preserve">experiences contributing to </w:t>
      </w:r>
      <w:r w:rsidR="007468B9" w:rsidRPr="00872623">
        <w:rPr>
          <w:rFonts w:cs="Times New Roman"/>
        </w:rPr>
        <w:t>stu</w:t>
      </w:r>
      <w:r w:rsidRPr="00872623">
        <w:rPr>
          <w:rFonts w:cs="Times New Roman"/>
        </w:rPr>
        <w:t xml:space="preserve">dents’ school engagement, in particular among </w:t>
      </w:r>
      <w:r w:rsidR="00DD6052" w:rsidRPr="00872623">
        <w:rPr>
          <w:rFonts w:cs="Times New Roman"/>
        </w:rPr>
        <w:t xml:space="preserve">students </w:t>
      </w:r>
      <w:r w:rsidR="000F550C" w:rsidRPr="00872623">
        <w:rPr>
          <w:rFonts w:cs="Times New Roman"/>
        </w:rPr>
        <w:t>with special needs</w:t>
      </w:r>
      <w:r w:rsidR="00A364D7">
        <w:rPr>
          <w:rFonts w:cs="Times New Roman"/>
        </w:rPr>
        <w:t xml:space="preserve">. This </w:t>
      </w:r>
      <w:r w:rsidR="00A364D7" w:rsidRPr="005D70FB">
        <w:rPr>
          <w:rFonts w:cs="Times New Roman"/>
        </w:rPr>
        <w:t>study explores</w:t>
      </w:r>
      <w:r w:rsidRPr="000D424C">
        <w:rPr>
          <w:rFonts w:cs="Times New Roman"/>
        </w:rPr>
        <w:t xml:space="preserve"> lower</w:t>
      </w:r>
      <w:r w:rsidR="00EA3350" w:rsidRPr="000D424C">
        <w:rPr>
          <w:rFonts w:cs="Times New Roman"/>
        </w:rPr>
        <w:t xml:space="preserve"> </w:t>
      </w:r>
      <w:r w:rsidRPr="000D424C">
        <w:rPr>
          <w:rFonts w:cs="Times New Roman"/>
        </w:rPr>
        <w:t>secondary Swedish</w:t>
      </w:r>
      <w:r w:rsidRPr="000D424C">
        <w:t>-speaking school students’ engaging and disengaging school experiences</w:t>
      </w:r>
      <w:r w:rsidR="004009AD" w:rsidRPr="000D424C">
        <w:t xml:space="preserve">, </w:t>
      </w:r>
      <w:r w:rsidRPr="000D424C">
        <w:t xml:space="preserve">by analyzing significant positive and negative school experiences </w:t>
      </w:r>
      <w:r w:rsidR="008502A9" w:rsidRPr="000D424C">
        <w:t>among</w:t>
      </w:r>
      <w:r w:rsidR="00DD6052" w:rsidRPr="000D424C">
        <w:t xml:space="preserve"> seventh grade</w:t>
      </w:r>
      <w:r w:rsidR="008502A9" w:rsidRPr="000D424C">
        <w:t>rs</w:t>
      </w:r>
      <w:r w:rsidR="00DD6052" w:rsidRPr="000D424C">
        <w:t>.</w:t>
      </w:r>
      <w:r w:rsidRPr="000D424C">
        <w:t xml:space="preserve"> </w:t>
      </w:r>
      <w:r w:rsidR="009718AF" w:rsidRPr="005D70FB">
        <w:t xml:space="preserve">The study also focuses on the sense of belonging </w:t>
      </w:r>
      <w:r w:rsidR="007F3E1F" w:rsidRPr="005D70FB">
        <w:t>as a</w:t>
      </w:r>
      <w:r w:rsidR="008A7F6E" w:rsidRPr="005D70FB">
        <w:t xml:space="preserve"> </w:t>
      </w:r>
      <w:r w:rsidR="007F3E1F" w:rsidRPr="005D70FB">
        <w:t>crucial</w:t>
      </w:r>
      <w:r w:rsidR="008A7F6E" w:rsidRPr="005D70FB">
        <w:t xml:space="preserve"> ingredient of the engaging school experience.</w:t>
      </w:r>
      <w:r w:rsidR="008A7F6E">
        <w:t xml:space="preserve"> </w:t>
      </w:r>
      <w:r w:rsidRPr="000D424C">
        <w:t xml:space="preserve">Moreover, a comparison is made between the school experiences of students </w:t>
      </w:r>
      <w:r w:rsidRPr="00872623">
        <w:t xml:space="preserve">with special </w:t>
      </w:r>
      <w:r w:rsidR="00337F61" w:rsidRPr="00872623">
        <w:t>needs</w:t>
      </w:r>
      <w:r w:rsidRPr="00872623">
        <w:t xml:space="preserve"> and </w:t>
      </w:r>
      <w:r w:rsidR="00447D5A" w:rsidRPr="00872623">
        <w:t>general education students</w:t>
      </w:r>
      <w:r w:rsidR="00C50876" w:rsidRPr="00872623">
        <w:t xml:space="preserve"> in </w:t>
      </w:r>
      <w:r w:rsidR="008502A9" w:rsidRPr="00872623">
        <w:t>Finland</w:t>
      </w:r>
      <w:r w:rsidR="00C50876" w:rsidRPr="00872623">
        <w:t>.</w:t>
      </w:r>
    </w:p>
    <w:p w14:paraId="4EFCF0BC" w14:textId="77777777" w:rsidR="00FB091E" w:rsidRDefault="009D2028" w:rsidP="00997091">
      <w:r w:rsidRPr="000D424C">
        <w:t xml:space="preserve">In Finland, remedial instruction is provided primarily through inclusion in mainstream education. This means that students </w:t>
      </w:r>
      <w:r w:rsidR="004009AD" w:rsidRPr="000D424C">
        <w:t xml:space="preserve">with </w:t>
      </w:r>
      <w:r w:rsidRPr="000D424C">
        <w:t xml:space="preserve">special </w:t>
      </w:r>
      <w:r w:rsidR="004009AD" w:rsidRPr="000D424C">
        <w:t xml:space="preserve">needs </w:t>
      </w:r>
      <w:r w:rsidR="00015466" w:rsidRPr="000D424C">
        <w:t xml:space="preserve">are </w:t>
      </w:r>
      <w:r w:rsidRPr="000D424C">
        <w:t>study</w:t>
      </w:r>
      <w:r w:rsidR="00015466" w:rsidRPr="000D424C">
        <w:t>ing</w:t>
      </w:r>
      <w:r w:rsidRPr="000D424C">
        <w:t xml:space="preserve"> in the same classroom as </w:t>
      </w:r>
      <w:r w:rsidR="004009AD" w:rsidRPr="000D424C">
        <w:t xml:space="preserve">general education </w:t>
      </w:r>
      <w:r w:rsidRPr="000D424C">
        <w:t>student</w:t>
      </w:r>
      <w:r w:rsidR="004009AD" w:rsidRPr="000D424C">
        <w:t>s</w:t>
      </w:r>
      <w:r w:rsidRPr="000D424C">
        <w:t xml:space="preserve"> </w:t>
      </w:r>
      <w:r w:rsidRPr="00872623">
        <w:t>(</w:t>
      </w:r>
      <w:r w:rsidR="00141434" w:rsidRPr="00872623">
        <w:t>The Finnish National Board of Education</w:t>
      </w:r>
      <w:r w:rsidR="0024380B">
        <w:t>, 2016</w:t>
      </w:r>
      <w:r w:rsidRPr="00872623">
        <w:t>).</w:t>
      </w:r>
      <w:r w:rsidRPr="000D424C">
        <w:t xml:space="preserve"> To be able to create learning environments in which all students can flourish, a better understanding of the anatomy of engaging school experiences among a variety of student groups is needed (Sabel, Saxenian, Miettinen, Kristensen</w:t>
      </w:r>
      <w:r w:rsidR="007462DD" w:rsidRPr="000D424C">
        <w:t>,</w:t>
      </w:r>
      <w:r w:rsidRPr="000D424C">
        <w:t xml:space="preserve"> &amp; Hautamäki, 2011</w:t>
      </w:r>
      <w:r w:rsidR="00EF2288" w:rsidRPr="000D424C">
        <w:t xml:space="preserve">). </w:t>
      </w:r>
      <w:r w:rsidR="00D835E6" w:rsidRPr="000D424C">
        <w:t>Especially</w:t>
      </w:r>
      <w:r w:rsidR="00671C34" w:rsidRPr="000D424C">
        <w:t>,</w:t>
      </w:r>
      <w:r w:rsidR="00D835E6" w:rsidRPr="000D424C">
        <w:t xml:space="preserve"> more in-depth analysis of</w:t>
      </w:r>
      <w:r w:rsidR="00671C34" w:rsidRPr="000D424C">
        <w:t xml:space="preserve"> </w:t>
      </w:r>
      <w:r w:rsidR="00F6015D" w:rsidRPr="000D424C">
        <w:t xml:space="preserve">an </w:t>
      </w:r>
      <w:r w:rsidR="00D835E6" w:rsidRPr="000D424C">
        <w:t>engaging school experience and its</w:t>
      </w:r>
      <w:r w:rsidR="00671C34" w:rsidRPr="000D424C">
        <w:t xml:space="preserve"> anteceden</w:t>
      </w:r>
      <w:r w:rsidR="00D835E6" w:rsidRPr="000D424C">
        <w:t>ts</w:t>
      </w:r>
      <w:r w:rsidR="006E6CEA" w:rsidRPr="000D424C">
        <w:t xml:space="preserve">, </w:t>
      </w:r>
      <w:r w:rsidR="00055358" w:rsidRPr="000D424C">
        <w:t xml:space="preserve">from the viewpoint of </w:t>
      </w:r>
      <w:r w:rsidR="0058286F" w:rsidRPr="000D424C">
        <w:t>students with special needs</w:t>
      </w:r>
      <w:r w:rsidR="00D835E6" w:rsidRPr="000D424C">
        <w:t xml:space="preserve"> is needed.</w:t>
      </w:r>
    </w:p>
    <w:p w14:paraId="58AC3CA7" w14:textId="77777777" w:rsidR="00FB091E" w:rsidRDefault="00FB091E" w:rsidP="00997091">
      <w:pPr>
        <w:ind w:firstLine="0"/>
        <w:rPr>
          <w:b/>
          <w:szCs w:val="24"/>
        </w:rPr>
      </w:pPr>
    </w:p>
    <w:p w14:paraId="629FC322" w14:textId="77777777" w:rsidR="00FB091E" w:rsidRDefault="009D2028" w:rsidP="00997091">
      <w:pPr>
        <w:ind w:firstLine="0"/>
        <w:rPr>
          <w:b/>
        </w:rPr>
      </w:pPr>
      <w:r w:rsidRPr="000229B9">
        <w:rPr>
          <w:b/>
        </w:rPr>
        <w:t xml:space="preserve">School </w:t>
      </w:r>
      <w:r w:rsidR="003045F4" w:rsidRPr="000229B9">
        <w:rPr>
          <w:b/>
        </w:rPr>
        <w:t>E</w:t>
      </w:r>
      <w:r w:rsidRPr="000229B9">
        <w:rPr>
          <w:b/>
        </w:rPr>
        <w:t>ngagement</w:t>
      </w:r>
    </w:p>
    <w:p w14:paraId="260DE1D8" w14:textId="77777777" w:rsidR="00997091" w:rsidRDefault="00997091" w:rsidP="00997091">
      <w:pPr>
        <w:ind w:firstLine="0"/>
        <w:rPr>
          <w:szCs w:val="24"/>
        </w:rPr>
      </w:pPr>
    </w:p>
    <w:p w14:paraId="7D9DE3EC" w14:textId="77777777" w:rsidR="00FB091E" w:rsidRDefault="009D2028" w:rsidP="00997091">
      <w:r w:rsidRPr="003F0FA3">
        <w:t>School engagement refers to active student involvement in various activities provided by the school (Appleton, Christenson, Kim</w:t>
      </w:r>
      <w:r w:rsidR="00B27215" w:rsidRPr="000D424C">
        <w:t>,</w:t>
      </w:r>
      <w:r w:rsidRPr="000D424C">
        <w:t xml:space="preserve"> &amp; Reschly, 2006; Faircloth, 2009; Kirkpatrick Johnson, Crosnoe, &amp; Thaden, 2006; </w:t>
      </w:r>
      <w:r w:rsidR="00501AC6" w:rsidRPr="000D424C">
        <w:t xml:space="preserve">Lewis, Huebner, Malone, &amp; Valois, 2011; </w:t>
      </w:r>
      <w:r w:rsidRPr="000D424C">
        <w:t>Marks, 2000; Nickerson, Hopson</w:t>
      </w:r>
      <w:r w:rsidR="00137A28">
        <w:t>,</w:t>
      </w:r>
      <w:r w:rsidRPr="000D424C">
        <w:t xml:space="preserve"> &amp; Steinke, 2012; Oelsner, Lippold</w:t>
      </w:r>
      <w:r w:rsidR="00252796" w:rsidRPr="000D424C">
        <w:t>,</w:t>
      </w:r>
      <w:r w:rsidRPr="000D424C">
        <w:t xml:space="preserve"> &amp; Greenberg, 2011; Perry, Liu, &amp; Pabian, 2010). Lopez (2011) proposed that engaged students </w:t>
      </w:r>
      <w:r w:rsidR="00D835E6" w:rsidRPr="000D424C">
        <w:t>are</w:t>
      </w:r>
      <w:r w:rsidRPr="000D424C">
        <w:t xml:space="preserve"> highly motivated and enthusiastic about school, and are also likely to promote learning readiness in those around them. </w:t>
      </w:r>
      <w:r w:rsidR="009953AE">
        <w:t>In turn</w:t>
      </w:r>
      <w:r w:rsidRPr="000D424C">
        <w:t>, those students who were actively disengaged were more likely to undermine the teaching and learning process</w:t>
      </w:r>
      <w:r w:rsidR="009953AE">
        <w:t xml:space="preserve"> not only</w:t>
      </w:r>
      <w:r w:rsidRPr="000D424C">
        <w:t xml:space="preserve"> for themselves</w:t>
      </w:r>
      <w:r w:rsidR="009953AE">
        <w:t>,</w:t>
      </w:r>
      <w:r w:rsidRPr="000D424C">
        <w:t xml:space="preserve"> </w:t>
      </w:r>
      <w:r w:rsidR="009953AE">
        <w:t>but for</w:t>
      </w:r>
      <w:r w:rsidRPr="000D424C">
        <w:t xml:space="preserve"> others</w:t>
      </w:r>
      <w:r w:rsidR="009953AE">
        <w:t xml:space="preserve"> too</w:t>
      </w:r>
      <w:r w:rsidRPr="000D424C">
        <w:t xml:space="preserve">. </w:t>
      </w:r>
    </w:p>
    <w:p w14:paraId="2D3DC760" w14:textId="77777777" w:rsidR="00FB091E" w:rsidRDefault="009D2028" w:rsidP="00997091">
      <w:pPr>
        <w:rPr>
          <w:szCs w:val="24"/>
          <w:lang w:val="en-GB"/>
        </w:rPr>
      </w:pPr>
      <w:r w:rsidRPr="000D424C">
        <w:rPr>
          <w:szCs w:val="24"/>
        </w:rPr>
        <w:t>In the literature, school engagement is typically per</w:t>
      </w:r>
      <w:r w:rsidR="00D835E6" w:rsidRPr="000D424C">
        <w:rPr>
          <w:szCs w:val="24"/>
        </w:rPr>
        <w:t>ceived as a meta-construct</w:t>
      </w:r>
      <w:r w:rsidRPr="000D424C">
        <w:rPr>
          <w:szCs w:val="24"/>
        </w:rPr>
        <w:t xml:space="preserve"> comprising three</w:t>
      </w:r>
      <w:r w:rsidRPr="000D424C">
        <w:rPr>
          <w:i/>
          <w:szCs w:val="24"/>
        </w:rPr>
        <w:t xml:space="preserve"> </w:t>
      </w:r>
      <w:r w:rsidRPr="000D424C">
        <w:rPr>
          <w:szCs w:val="24"/>
        </w:rPr>
        <w:t>dimensions</w:t>
      </w:r>
      <w:r w:rsidR="00AA66EB" w:rsidRPr="000D424C">
        <w:rPr>
          <w:szCs w:val="24"/>
        </w:rPr>
        <w:t>:</w:t>
      </w:r>
      <w:r w:rsidRPr="000D424C">
        <w:rPr>
          <w:szCs w:val="24"/>
        </w:rPr>
        <w:t xml:space="preserve"> behavioral, cognitive</w:t>
      </w:r>
      <w:r w:rsidR="00F6015D" w:rsidRPr="000D424C">
        <w:rPr>
          <w:szCs w:val="24"/>
        </w:rPr>
        <w:t>,</w:t>
      </w:r>
      <w:r w:rsidRPr="000D424C">
        <w:rPr>
          <w:szCs w:val="24"/>
        </w:rPr>
        <w:t xml:space="preserve"> and emotional engagement (Appleton et al.</w:t>
      </w:r>
      <w:r w:rsidR="00252796" w:rsidRPr="000D424C">
        <w:rPr>
          <w:szCs w:val="24"/>
        </w:rPr>
        <w:t>,</w:t>
      </w:r>
      <w:r w:rsidRPr="000D424C">
        <w:rPr>
          <w:szCs w:val="24"/>
        </w:rPr>
        <w:t xml:space="preserve"> 2006; Fredricks, Blumenfield</w:t>
      </w:r>
      <w:r w:rsidR="00BB41FB" w:rsidRPr="000D424C">
        <w:rPr>
          <w:szCs w:val="24"/>
        </w:rPr>
        <w:t>,</w:t>
      </w:r>
      <w:r w:rsidRPr="000D424C">
        <w:rPr>
          <w:szCs w:val="24"/>
        </w:rPr>
        <w:t xml:space="preserve"> &amp; Paris</w:t>
      </w:r>
      <w:r w:rsidR="00E51F3C" w:rsidRPr="000D424C">
        <w:rPr>
          <w:szCs w:val="24"/>
        </w:rPr>
        <w:t>,</w:t>
      </w:r>
      <w:r w:rsidRPr="000D424C">
        <w:rPr>
          <w:szCs w:val="24"/>
        </w:rPr>
        <w:t xml:space="preserve"> 2004; Furlong &amp; Christenson, 2008 &amp; Lam et al.</w:t>
      </w:r>
      <w:r w:rsidR="00E51F3C" w:rsidRPr="000D424C">
        <w:rPr>
          <w:szCs w:val="24"/>
        </w:rPr>
        <w:t>,</w:t>
      </w:r>
      <w:r w:rsidR="00B2599D" w:rsidRPr="000D424C">
        <w:rPr>
          <w:szCs w:val="24"/>
        </w:rPr>
        <w:t xml:space="preserve"> 2</w:t>
      </w:r>
      <w:r w:rsidRPr="000D424C">
        <w:rPr>
          <w:szCs w:val="24"/>
        </w:rPr>
        <w:t xml:space="preserve">012). </w:t>
      </w:r>
      <w:r w:rsidRPr="000D424C">
        <w:rPr>
          <w:i/>
          <w:szCs w:val="24"/>
        </w:rPr>
        <w:t>Behavioral engagement</w:t>
      </w:r>
      <w:r w:rsidRPr="000D424C">
        <w:rPr>
          <w:szCs w:val="24"/>
        </w:rPr>
        <w:t xml:space="preserve"> entails student attendance, active participation in classes, and involvement in extracurricular activities (Finn &amp; Rock, 1997; Furlong &amp; Christenson 2008). </w:t>
      </w:r>
      <w:r w:rsidRPr="000D424C">
        <w:rPr>
          <w:i/>
          <w:szCs w:val="24"/>
        </w:rPr>
        <w:t>Cognitive engagement</w:t>
      </w:r>
      <w:r w:rsidRPr="000D424C">
        <w:rPr>
          <w:szCs w:val="24"/>
        </w:rPr>
        <w:t xml:space="preserve"> refers to the extent to which students </w:t>
      </w:r>
      <w:r w:rsidR="00C35D2A" w:rsidRPr="000D424C">
        <w:rPr>
          <w:szCs w:val="24"/>
        </w:rPr>
        <w:t>put effort in</w:t>
      </w:r>
      <w:r w:rsidR="00B42598" w:rsidRPr="000D424C">
        <w:rPr>
          <w:szCs w:val="24"/>
        </w:rPr>
        <w:t>to</w:t>
      </w:r>
      <w:r w:rsidR="00C35D2A" w:rsidRPr="000D424C">
        <w:rPr>
          <w:szCs w:val="24"/>
        </w:rPr>
        <w:t xml:space="preserve"> their studies, manifested</w:t>
      </w:r>
      <w:r w:rsidRPr="000D424C">
        <w:rPr>
          <w:szCs w:val="24"/>
        </w:rPr>
        <w:t xml:space="preserve"> in their interest in learning, goal setting, and approaches to studying and learning, for example </w:t>
      </w:r>
      <w:r w:rsidR="009F46CC" w:rsidRPr="000D424C">
        <w:rPr>
          <w:szCs w:val="24"/>
        </w:rPr>
        <w:t xml:space="preserve">in </w:t>
      </w:r>
      <w:r w:rsidRPr="000D424C">
        <w:rPr>
          <w:szCs w:val="24"/>
        </w:rPr>
        <w:t>the number of credits the student has accrued and the amount of homework completed (Finn &amp; Rock, 1997; Furlong &amp; Christenson, 2008)</w:t>
      </w:r>
      <w:r w:rsidR="00B42598" w:rsidRPr="000D424C">
        <w:rPr>
          <w:szCs w:val="24"/>
        </w:rPr>
        <w:t>.</w:t>
      </w:r>
      <w:r w:rsidR="00137A28">
        <w:rPr>
          <w:szCs w:val="24"/>
        </w:rPr>
        <w:t xml:space="preserve"> </w:t>
      </w:r>
      <w:r w:rsidRPr="000D424C">
        <w:rPr>
          <w:szCs w:val="24"/>
        </w:rPr>
        <w:t>It has been suggested that cognitive engagement is key to improving student learning outcomes, especially for those students at high risk of educational failure (Appleton</w:t>
      </w:r>
      <w:r w:rsidR="00D835E6" w:rsidRPr="000D424C">
        <w:rPr>
          <w:szCs w:val="24"/>
        </w:rPr>
        <w:t xml:space="preserve"> et al. 2006)</w:t>
      </w:r>
      <w:r w:rsidR="007425ED">
        <w:rPr>
          <w:szCs w:val="24"/>
        </w:rPr>
        <w:t>.</w:t>
      </w:r>
      <w:r w:rsidR="00B42598" w:rsidRPr="000D424C">
        <w:rPr>
          <w:szCs w:val="24"/>
        </w:rPr>
        <w:t xml:space="preserve"> </w:t>
      </w:r>
      <w:r w:rsidR="00D835E6" w:rsidRPr="000D424C">
        <w:rPr>
          <w:i/>
          <w:szCs w:val="24"/>
        </w:rPr>
        <w:t>E</w:t>
      </w:r>
      <w:r w:rsidRPr="000D424C">
        <w:rPr>
          <w:i/>
          <w:szCs w:val="24"/>
        </w:rPr>
        <w:t>motional engagement</w:t>
      </w:r>
      <w:r w:rsidRPr="000D424C">
        <w:rPr>
          <w:szCs w:val="24"/>
        </w:rPr>
        <w:t xml:space="preserve"> refers to affective factors such as a sense of belonging and the perceived connectedness and support from parents, teachers, and peers. Student engagement has been shown to peak during elementary school, decrease through middle school, and then increase through the rest of high school </w:t>
      </w:r>
      <w:r w:rsidR="00364109" w:rsidRPr="000D424C">
        <w:rPr>
          <w:szCs w:val="24"/>
          <w:lang w:val="en-GB"/>
        </w:rPr>
        <w:t>(Faircloth, 2009; Nickerson et al., 2011; Lam et al., 2012; Lohre, Lydersen, &amp; Vatten, 2010; Oelsner et al., 2011).</w:t>
      </w:r>
    </w:p>
    <w:p w14:paraId="3616846B" w14:textId="77777777" w:rsidR="00FB091E" w:rsidRDefault="009D2028" w:rsidP="00997091">
      <w:r w:rsidRPr="003F0FA3">
        <w:lastRenderedPageBreak/>
        <w:t xml:space="preserve">Research on school </w:t>
      </w:r>
      <w:r w:rsidRPr="000D424C">
        <w:t>engagement has traditionally focused on st</w:t>
      </w:r>
      <w:r w:rsidR="00DB2480">
        <w:t xml:space="preserve">udent behavioral engagement in </w:t>
      </w:r>
      <w:r w:rsidRPr="000D424C">
        <w:t>the academic tasks provided by the school</w:t>
      </w:r>
      <w:r w:rsidR="00406CEF">
        <w:t xml:space="preserve"> (</w:t>
      </w:r>
      <w:r w:rsidR="006B35CB">
        <w:t>Appleton et al., 2006</w:t>
      </w:r>
      <w:r w:rsidR="004730A9">
        <w:t>; Fredricks et al., 2004</w:t>
      </w:r>
      <w:r w:rsidR="006B35CB">
        <w:t>).</w:t>
      </w:r>
      <w:r w:rsidRPr="000D424C">
        <w:t xml:space="preserve"> </w:t>
      </w:r>
      <w:r w:rsidR="00B74EE2" w:rsidRPr="000D424C">
        <w:t>In addition</w:t>
      </w:r>
      <w:r w:rsidRPr="000D424C">
        <w:t>, the focus has often been placed on exploring outcomes such as dropping out</w:t>
      </w:r>
      <w:r w:rsidR="007425ED">
        <w:t>,</w:t>
      </w:r>
      <w:r w:rsidR="00B42598" w:rsidRPr="000D424C">
        <w:t xml:space="preserve"> r</w:t>
      </w:r>
      <w:r w:rsidRPr="000D424C">
        <w:t xml:space="preserve">ather </w:t>
      </w:r>
      <w:r w:rsidR="00C35D2A" w:rsidRPr="000D424C">
        <w:t xml:space="preserve">than </w:t>
      </w:r>
      <w:r w:rsidR="00AA66EB" w:rsidRPr="000D424C">
        <w:t xml:space="preserve">on </w:t>
      </w:r>
      <w:r w:rsidRPr="000D424C">
        <w:t>the process of engagement</w:t>
      </w:r>
      <w:r w:rsidR="00B42598" w:rsidRPr="000D424C">
        <w:t xml:space="preserve"> </w:t>
      </w:r>
      <w:r w:rsidRPr="000D424C">
        <w:t>(Finn &amp; Rock, 1997; Reschly &amp; Christenson</w:t>
      </w:r>
      <w:r w:rsidR="00252796" w:rsidRPr="000D424C">
        <w:t>,</w:t>
      </w:r>
      <w:r w:rsidRPr="000D424C">
        <w:t xml:space="preserve"> 2006)</w:t>
      </w:r>
      <w:r w:rsidR="00B74EE2" w:rsidRPr="000D424C">
        <w:t>.</w:t>
      </w:r>
      <w:r w:rsidRPr="000D424C">
        <w:t xml:space="preserve"> </w:t>
      </w:r>
      <w:r w:rsidR="00406CEF">
        <w:t>L</w:t>
      </w:r>
      <w:r w:rsidRPr="000D424C">
        <w:t>ess attention has been paid to the emotional and cognitive dimensions of student engagement</w:t>
      </w:r>
      <w:r w:rsidR="00B42598" w:rsidRPr="000D424C">
        <w:t xml:space="preserve"> </w:t>
      </w:r>
      <w:r w:rsidRPr="000D424C">
        <w:t>(Appleton et al.</w:t>
      </w:r>
      <w:r w:rsidR="009A416F" w:rsidRPr="000D424C">
        <w:t>,</w:t>
      </w:r>
      <w:r w:rsidRPr="000D424C">
        <w:t xml:space="preserve"> 2006)</w:t>
      </w:r>
      <w:r w:rsidR="00D4299C" w:rsidRPr="000D424C">
        <w:t>.</w:t>
      </w:r>
      <w:r w:rsidRPr="000D424C">
        <w:t xml:space="preserve"> </w:t>
      </w:r>
      <w:r w:rsidR="00695D93" w:rsidRPr="000D424C">
        <w:t xml:space="preserve">It has been suggested that </w:t>
      </w:r>
      <w:r w:rsidR="005C3876" w:rsidRPr="005D70FB">
        <w:t>the</w:t>
      </w:r>
      <w:r w:rsidR="005C3876">
        <w:t xml:space="preserve"> </w:t>
      </w:r>
      <w:r w:rsidRPr="000D424C">
        <w:t xml:space="preserve">sense of </w:t>
      </w:r>
      <w:r w:rsidR="000143DF" w:rsidRPr="000D424C">
        <w:t>belonging</w:t>
      </w:r>
      <w:r w:rsidRPr="000D424C">
        <w:t xml:space="preserve"> </w:t>
      </w:r>
      <w:r w:rsidR="00695D93" w:rsidRPr="000D424C">
        <w:t>provides a</w:t>
      </w:r>
      <w:r w:rsidRPr="000D424C">
        <w:t xml:space="preserve"> mechanism</w:t>
      </w:r>
      <w:r w:rsidR="009A416F" w:rsidRPr="000D424C">
        <w:t>,</w:t>
      </w:r>
      <w:r w:rsidRPr="000D424C">
        <w:t xml:space="preserve"> linking students</w:t>
      </w:r>
      <w:r w:rsidR="00F81891" w:rsidRPr="000D424C">
        <w:t>’</w:t>
      </w:r>
      <w:r w:rsidRPr="000D424C">
        <w:t xml:space="preserve"> </w:t>
      </w:r>
      <w:r w:rsidR="00C35D2A" w:rsidRPr="000D424C">
        <w:t>school experience</w:t>
      </w:r>
      <w:r w:rsidR="00F81891" w:rsidRPr="000D424C">
        <w:t>s</w:t>
      </w:r>
      <w:r w:rsidR="00C35D2A" w:rsidRPr="000D424C">
        <w:t xml:space="preserve"> </w:t>
      </w:r>
      <w:r w:rsidRPr="000D424C">
        <w:t>to their engagement in academic activities provided by the school</w:t>
      </w:r>
      <w:r w:rsidR="00695D93" w:rsidRPr="000D424C">
        <w:t xml:space="preserve"> (Furrer &amp; Skinner, 2003)</w:t>
      </w:r>
      <w:r w:rsidRPr="000D424C">
        <w:t xml:space="preserve">. However, the </w:t>
      </w:r>
      <w:r w:rsidR="00AD5706" w:rsidRPr="000D424C">
        <w:t>complex interactions contributing to students’</w:t>
      </w:r>
      <w:r w:rsidRPr="000D424C">
        <w:t xml:space="preserve"> school experiences</w:t>
      </w:r>
      <w:r w:rsidR="00AD5706" w:rsidRPr="000D424C">
        <w:t>,</w:t>
      </w:r>
      <w:r w:rsidRPr="000D424C">
        <w:t xml:space="preserve"> and further to school engagement, are not sufficiently understood (Kirkpatrick Johnson et al.</w:t>
      </w:r>
      <w:r w:rsidR="0057609A" w:rsidRPr="000D424C">
        <w:t>,</w:t>
      </w:r>
      <w:r w:rsidRPr="000D424C">
        <w:t xml:space="preserve"> 2006; Reschly et al.</w:t>
      </w:r>
      <w:r w:rsidR="0057609A" w:rsidRPr="000D424C">
        <w:t>,</w:t>
      </w:r>
      <w:r w:rsidRPr="000D424C">
        <w:t xml:space="preserve"> 2008).</w:t>
      </w:r>
      <w:r w:rsidR="00B5222A">
        <w:t xml:space="preserve"> </w:t>
      </w:r>
      <w:r w:rsidR="00CA3FA0" w:rsidRPr="005D70FB">
        <w:t>For example, knowledge on how teacher–student relationships contribute to peer relations and how teachers can support students´ emotional engagement in peer–group relations in the school context is scarce. (Hughes &amp; Chen, 2011).</w:t>
      </w:r>
      <w:r w:rsidRPr="005D70FB">
        <w:t xml:space="preserve"> </w:t>
      </w:r>
      <w:r w:rsidR="000143DF" w:rsidRPr="005D70FB">
        <w:t>In this stud</w:t>
      </w:r>
      <w:r w:rsidR="0002241C" w:rsidRPr="005D70FB">
        <w:t>y,</w:t>
      </w:r>
      <w:r w:rsidR="00695D93" w:rsidRPr="005D70FB">
        <w:t xml:space="preserve"> </w:t>
      </w:r>
      <w:r w:rsidR="00B74EE2" w:rsidRPr="005D70FB">
        <w:t xml:space="preserve">the </w:t>
      </w:r>
      <w:r w:rsidR="00695D93" w:rsidRPr="005D70FB">
        <w:t>focus is on exploring</w:t>
      </w:r>
      <w:r w:rsidR="0002241C" w:rsidRPr="005D70FB">
        <w:t xml:space="preserve"> meaning</w:t>
      </w:r>
      <w:r w:rsidR="00695D93" w:rsidRPr="005D70FB">
        <w:t>ful everyday school experiences</w:t>
      </w:r>
      <w:r w:rsidR="007966BE" w:rsidRPr="005D70FB">
        <w:t xml:space="preserve"> </w:t>
      </w:r>
      <w:r w:rsidR="00B74EE2" w:rsidRPr="005D70FB">
        <w:t xml:space="preserve">that </w:t>
      </w:r>
      <w:r w:rsidR="00AD5706" w:rsidRPr="005D70FB">
        <w:t>enhanc</w:t>
      </w:r>
      <w:r w:rsidR="00B74EE2" w:rsidRPr="005D70FB">
        <w:t>e</w:t>
      </w:r>
      <w:r w:rsidR="00AD5706" w:rsidRPr="005D70FB">
        <w:t xml:space="preserve"> or</w:t>
      </w:r>
      <w:r w:rsidR="00695D93" w:rsidRPr="005D70FB">
        <w:t xml:space="preserve"> reduc</w:t>
      </w:r>
      <w:r w:rsidR="00B74EE2" w:rsidRPr="005D70FB">
        <w:t>e</w:t>
      </w:r>
      <w:r w:rsidR="00275235" w:rsidRPr="005D70FB">
        <w:t xml:space="preserve"> </w:t>
      </w:r>
      <w:r w:rsidR="007966BE" w:rsidRPr="005D70FB">
        <w:t>emotional a</w:t>
      </w:r>
      <w:r w:rsidR="00695D93" w:rsidRPr="005D70FB">
        <w:t xml:space="preserve">nd cognitive engagement among </w:t>
      </w:r>
      <w:r w:rsidR="008560C2" w:rsidRPr="005D70FB">
        <w:t>seventh graders in Finland.</w:t>
      </w:r>
      <w:r w:rsidR="00097673" w:rsidRPr="005D70FB">
        <w:t xml:space="preserve"> Thus, </w:t>
      </w:r>
      <w:r w:rsidR="00105809" w:rsidRPr="005D70FB">
        <w:t xml:space="preserve">engaging and disengaging episodes vary in terms </w:t>
      </w:r>
      <w:r w:rsidR="00B27E92" w:rsidRPr="005D70FB">
        <w:t xml:space="preserve">of </w:t>
      </w:r>
      <w:r w:rsidR="00670F5A">
        <w:t xml:space="preserve">the </w:t>
      </w:r>
      <w:r w:rsidR="00105809" w:rsidRPr="005D70FB">
        <w:t xml:space="preserve">quality of </w:t>
      </w:r>
      <w:r w:rsidR="00284FBB" w:rsidRPr="005D70FB">
        <w:t xml:space="preserve">the </w:t>
      </w:r>
      <w:r w:rsidR="00105809" w:rsidRPr="005D70FB">
        <w:t xml:space="preserve">teacher–student interaction and peer relations, </w:t>
      </w:r>
      <w:r w:rsidR="00B27E92" w:rsidRPr="005D70FB">
        <w:t>i.e. sense of belonging in the school co</w:t>
      </w:r>
      <w:r w:rsidR="00105809" w:rsidRPr="005D70FB">
        <w:t>mmunity</w:t>
      </w:r>
      <w:r w:rsidR="007A1D75" w:rsidRPr="005D70FB">
        <w:t>.</w:t>
      </w:r>
      <w:r w:rsidR="00097673">
        <w:t xml:space="preserve"> </w:t>
      </w:r>
    </w:p>
    <w:p w14:paraId="18E2CED8" w14:textId="77777777" w:rsidR="000C0ED2" w:rsidRDefault="000C0ED2" w:rsidP="00997091">
      <w:pPr>
        <w:ind w:firstLine="0"/>
      </w:pPr>
    </w:p>
    <w:p w14:paraId="5026035E" w14:textId="77777777" w:rsidR="00FB091E" w:rsidRDefault="00997091" w:rsidP="00997091">
      <w:pPr>
        <w:tabs>
          <w:tab w:val="left" w:pos="2977"/>
        </w:tabs>
        <w:ind w:firstLine="0"/>
        <w:rPr>
          <w:b/>
        </w:rPr>
      </w:pPr>
      <w:r>
        <w:rPr>
          <w:b/>
        </w:rPr>
        <w:t>Antecedents of Engaging School Ex</w:t>
      </w:r>
      <w:r w:rsidR="009D2028" w:rsidRPr="000229B9">
        <w:rPr>
          <w:b/>
        </w:rPr>
        <w:t xml:space="preserve">perience </w:t>
      </w:r>
    </w:p>
    <w:p w14:paraId="5D5C1140" w14:textId="77777777" w:rsidR="00997091" w:rsidRDefault="00997091" w:rsidP="00997091">
      <w:pPr>
        <w:tabs>
          <w:tab w:val="left" w:pos="2977"/>
        </w:tabs>
        <w:ind w:firstLine="0"/>
        <w:rPr>
          <w:b/>
          <w:szCs w:val="24"/>
        </w:rPr>
      </w:pPr>
    </w:p>
    <w:p w14:paraId="300EB7DE" w14:textId="77777777" w:rsidR="00FB091E" w:rsidRDefault="009D2028" w:rsidP="00997091">
      <w:r w:rsidRPr="003F0FA3">
        <w:rPr>
          <w:lang w:eastAsia="sv-SE"/>
        </w:rPr>
        <w:t xml:space="preserve">Prior research on school </w:t>
      </w:r>
      <w:r w:rsidRPr="000D424C">
        <w:rPr>
          <w:lang w:eastAsia="sv-SE"/>
        </w:rPr>
        <w:t xml:space="preserve">engagement has identified multiple </w:t>
      </w:r>
      <w:r w:rsidR="00AD5706" w:rsidRPr="000D424C">
        <w:rPr>
          <w:lang w:eastAsia="sv-SE"/>
        </w:rPr>
        <w:t xml:space="preserve">individual and environmental </w:t>
      </w:r>
      <w:r w:rsidRPr="000D424C">
        <w:rPr>
          <w:lang w:eastAsia="sv-SE"/>
        </w:rPr>
        <w:t xml:space="preserve">factors contributing to school engagement, such </w:t>
      </w:r>
      <w:r w:rsidR="00AD5706" w:rsidRPr="000D424C">
        <w:rPr>
          <w:lang w:eastAsia="sv-SE"/>
        </w:rPr>
        <w:t>as the educational goals</w:t>
      </w:r>
      <w:r w:rsidRPr="000D424C">
        <w:rPr>
          <w:lang w:eastAsia="sv-SE"/>
        </w:rPr>
        <w:t xml:space="preserve">, </w:t>
      </w:r>
      <w:r w:rsidR="00B74EE2" w:rsidRPr="000D424C">
        <w:rPr>
          <w:lang w:eastAsia="sv-SE"/>
        </w:rPr>
        <w:t xml:space="preserve">and </w:t>
      </w:r>
      <w:r w:rsidRPr="000D424C">
        <w:rPr>
          <w:lang w:eastAsia="sv-SE"/>
        </w:rPr>
        <w:t>the parents’</w:t>
      </w:r>
      <w:r w:rsidR="00F90208" w:rsidRPr="000D424C">
        <w:rPr>
          <w:lang w:eastAsia="sv-SE"/>
        </w:rPr>
        <w:t xml:space="preserve"> and </w:t>
      </w:r>
      <w:r w:rsidRPr="000D424C">
        <w:rPr>
          <w:lang w:eastAsia="sv-SE"/>
        </w:rPr>
        <w:t>students’</w:t>
      </w:r>
      <w:r w:rsidR="00F90208" w:rsidRPr="000D424C">
        <w:rPr>
          <w:lang w:eastAsia="sv-SE"/>
        </w:rPr>
        <w:t xml:space="preserve"> </w:t>
      </w:r>
      <w:r w:rsidR="00AD5706" w:rsidRPr="000D424C">
        <w:rPr>
          <w:lang w:eastAsia="sv-SE"/>
        </w:rPr>
        <w:t>aspirations</w:t>
      </w:r>
      <w:r w:rsidR="00192144" w:rsidRPr="000D424C">
        <w:rPr>
          <w:lang w:eastAsia="sv-SE"/>
        </w:rPr>
        <w:t xml:space="preserve"> </w:t>
      </w:r>
      <w:r w:rsidRPr="000D424C">
        <w:rPr>
          <w:lang w:eastAsia="sv-SE"/>
        </w:rPr>
        <w:t>(Gonida, Voulala</w:t>
      </w:r>
      <w:r w:rsidR="00252796" w:rsidRPr="000D424C">
        <w:rPr>
          <w:lang w:eastAsia="sv-SE"/>
        </w:rPr>
        <w:t>,</w:t>
      </w:r>
      <w:r w:rsidRPr="000D424C">
        <w:rPr>
          <w:lang w:eastAsia="sv-SE"/>
        </w:rPr>
        <w:t xml:space="preserve"> &amp; Kiosseoglou</w:t>
      </w:r>
      <w:r w:rsidR="00300713" w:rsidRPr="000D424C">
        <w:rPr>
          <w:lang w:eastAsia="sv-SE"/>
        </w:rPr>
        <w:t>,</w:t>
      </w:r>
      <w:r w:rsidRPr="000D424C">
        <w:rPr>
          <w:lang w:eastAsia="sv-SE"/>
        </w:rPr>
        <w:t xml:space="preserve"> 2008</w:t>
      </w:r>
      <w:r w:rsidR="00F46C41" w:rsidRPr="000D424C">
        <w:rPr>
          <w:lang w:eastAsia="sv-SE"/>
        </w:rPr>
        <w:t>;</w:t>
      </w:r>
      <w:r w:rsidR="00F46C41" w:rsidRPr="000D424C">
        <w:t xml:space="preserve"> Reschly &amp; Christenson, 2006</w:t>
      </w:r>
      <w:r w:rsidRPr="000D424C">
        <w:rPr>
          <w:lang w:eastAsia="sv-SE"/>
        </w:rPr>
        <w:t>)</w:t>
      </w:r>
      <w:r w:rsidR="00192144" w:rsidRPr="000D424C">
        <w:rPr>
          <w:lang w:eastAsia="sv-SE"/>
        </w:rPr>
        <w:t xml:space="preserve">. </w:t>
      </w:r>
      <w:r w:rsidR="00B74EE2" w:rsidRPr="000D424C">
        <w:rPr>
          <w:lang w:eastAsia="sv-SE"/>
        </w:rPr>
        <w:t>In particular</w:t>
      </w:r>
      <w:r w:rsidR="00192144" w:rsidRPr="000D424C">
        <w:rPr>
          <w:lang w:eastAsia="sv-SE"/>
        </w:rPr>
        <w:t xml:space="preserve">, </w:t>
      </w:r>
      <w:r w:rsidRPr="000D424C">
        <w:rPr>
          <w:lang w:eastAsia="sv-SE"/>
        </w:rPr>
        <w:t>interpersonal relationships</w:t>
      </w:r>
      <w:r w:rsidR="00192144" w:rsidRPr="000D424C">
        <w:rPr>
          <w:lang w:eastAsia="sv-SE"/>
        </w:rPr>
        <w:t xml:space="preserve"> and </w:t>
      </w:r>
      <w:r w:rsidRPr="000D424C">
        <w:rPr>
          <w:lang w:eastAsia="sv-SE"/>
        </w:rPr>
        <w:t xml:space="preserve">social and academic support (Upadyaya </w:t>
      </w:r>
      <w:r w:rsidR="00AD5706" w:rsidRPr="000D424C">
        <w:rPr>
          <w:lang w:eastAsia="sv-SE"/>
        </w:rPr>
        <w:t>&amp; Salmela-Aro, 2011), including</w:t>
      </w:r>
      <w:r w:rsidRPr="000D424C">
        <w:rPr>
          <w:lang w:eastAsia="sv-SE"/>
        </w:rPr>
        <w:t xml:space="preserve"> teacher support (</w:t>
      </w:r>
      <w:r w:rsidRPr="000D424C">
        <w:t>Carmen, Waycott &amp; Smith 2011; Faircloth</w:t>
      </w:r>
      <w:r w:rsidR="00300713" w:rsidRPr="000D424C">
        <w:t>,</w:t>
      </w:r>
      <w:r w:rsidRPr="000D424C">
        <w:t xml:space="preserve"> 2009; Hamm, Farmer, Dadisman, Gravelle</w:t>
      </w:r>
      <w:r w:rsidR="00596029" w:rsidRPr="000D424C">
        <w:t>,</w:t>
      </w:r>
      <w:r w:rsidRPr="000D424C">
        <w:t xml:space="preserve"> &amp; Murray</w:t>
      </w:r>
      <w:r w:rsidR="00E51F3C" w:rsidRPr="000D424C">
        <w:t xml:space="preserve">, </w:t>
      </w:r>
      <w:r w:rsidRPr="000D424C">
        <w:t>2011; Kirkpatrick Johnson et al.</w:t>
      </w:r>
      <w:r w:rsidR="00FB2348" w:rsidRPr="000D424C">
        <w:t>,</w:t>
      </w:r>
      <w:r w:rsidRPr="000D424C">
        <w:t xml:space="preserve"> 2006; Nickerson et al.</w:t>
      </w:r>
      <w:r w:rsidR="00FB2348" w:rsidRPr="000D424C">
        <w:t>,</w:t>
      </w:r>
      <w:r w:rsidRPr="000D424C">
        <w:t xml:space="preserve"> 2011; </w:t>
      </w:r>
      <w:r w:rsidRPr="000D424C">
        <w:rPr>
          <w:lang w:eastAsia="sv-SE"/>
        </w:rPr>
        <w:t>Perry et al.</w:t>
      </w:r>
      <w:r w:rsidR="00FB2348" w:rsidRPr="000D424C">
        <w:rPr>
          <w:lang w:eastAsia="sv-SE"/>
        </w:rPr>
        <w:t>,</w:t>
      </w:r>
      <w:r w:rsidRPr="000D424C">
        <w:rPr>
          <w:lang w:eastAsia="sv-SE"/>
        </w:rPr>
        <w:t xml:space="preserve"> 2010; </w:t>
      </w:r>
      <w:r w:rsidRPr="000D424C">
        <w:t>Wu, Hughes</w:t>
      </w:r>
      <w:r w:rsidR="00252796" w:rsidRPr="000D424C">
        <w:t>,</w:t>
      </w:r>
      <w:r w:rsidRPr="000D424C">
        <w:t xml:space="preserve"> &amp; Kwok</w:t>
      </w:r>
      <w:r w:rsidR="00E51F3C" w:rsidRPr="000D424C">
        <w:t>,</w:t>
      </w:r>
      <w:r w:rsidRPr="000D424C">
        <w:t xml:space="preserve"> 2010; Yunus, Wan Osman</w:t>
      </w:r>
      <w:r w:rsidR="00252796" w:rsidRPr="000D424C">
        <w:t>,</w:t>
      </w:r>
      <w:r w:rsidRPr="000D424C">
        <w:t xml:space="preserve"> &amp; Ishak</w:t>
      </w:r>
      <w:r w:rsidR="00B96FEC" w:rsidRPr="000D424C">
        <w:t>,</w:t>
      </w:r>
      <w:r w:rsidRPr="000D424C">
        <w:t xml:space="preserve"> 2011)</w:t>
      </w:r>
      <w:r w:rsidR="0053661C" w:rsidRPr="000D424C">
        <w:t xml:space="preserve"> </w:t>
      </w:r>
      <w:r w:rsidR="00AD5706" w:rsidRPr="000D424C">
        <w:t xml:space="preserve">are suggested to </w:t>
      </w:r>
      <w:r w:rsidR="00192144" w:rsidRPr="000D424C">
        <w:t xml:space="preserve">be </w:t>
      </w:r>
      <w:r w:rsidR="00DB2480">
        <w:t xml:space="preserve">determinants </w:t>
      </w:r>
      <w:r w:rsidR="008062E8">
        <w:t>of</w:t>
      </w:r>
      <w:r w:rsidR="00192144" w:rsidRPr="000D424C">
        <w:t xml:space="preserve"> </w:t>
      </w:r>
      <w:r w:rsidR="00B74EE2" w:rsidRPr="000D424C">
        <w:t xml:space="preserve">an </w:t>
      </w:r>
      <w:r w:rsidR="00D92690" w:rsidRPr="000D424C">
        <w:t>engaging school experience</w:t>
      </w:r>
      <w:r w:rsidRPr="000D424C">
        <w:t>.</w:t>
      </w:r>
      <w:r w:rsidR="00F32281" w:rsidRPr="000D424C">
        <w:t xml:space="preserve"> </w:t>
      </w:r>
      <w:r w:rsidR="00AD5706" w:rsidRPr="000D424C">
        <w:t>A</w:t>
      </w:r>
      <w:r w:rsidR="00F32281" w:rsidRPr="000D424C">
        <w:t xml:space="preserve"> </w:t>
      </w:r>
      <w:r w:rsidRPr="000D424C">
        <w:t>supportive student–teacher relati</w:t>
      </w:r>
      <w:r w:rsidR="00AD5706" w:rsidRPr="000D424C">
        <w:t xml:space="preserve">onship is shown to be </w:t>
      </w:r>
      <w:r w:rsidRPr="000D424C">
        <w:t xml:space="preserve">important </w:t>
      </w:r>
      <w:r w:rsidR="00073E8C" w:rsidRPr="000D424C">
        <w:t xml:space="preserve">for </w:t>
      </w:r>
      <w:r w:rsidR="005A702E" w:rsidRPr="000D424C">
        <w:t>cognitive engagement</w:t>
      </w:r>
      <w:r w:rsidR="00AD5706" w:rsidRPr="000D424C">
        <w:t>, particularly among boys,</w:t>
      </w:r>
      <w:r w:rsidR="00073E8C" w:rsidRPr="000D424C">
        <w:t xml:space="preserve"> which, in turn, </w:t>
      </w:r>
      <w:r w:rsidR="00CD31F8" w:rsidRPr="000D424C">
        <w:t>ha</w:t>
      </w:r>
      <w:r w:rsidR="002208AB" w:rsidRPr="000D424C">
        <w:t>s</w:t>
      </w:r>
      <w:r w:rsidR="00CD31F8" w:rsidRPr="000D424C">
        <w:t xml:space="preserve"> </w:t>
      </w:r>
      <w:r w:rsidR="00B74EE2" w:rsidRPr="000D424C">
        <w:t xml:space="preserve">been </w:t>
      </w:r>
      <w:r w:rsidR="00CD31F8" w:rsidRPr="000D424C">
        <w:t xml:space="preserve">found to </w:t>
      </w:r>
      <w:r w:rsidR="00073E8C" w:rsidRPr="000D424C">
        <w:t xml:space="preserve">contribute to </w:t>
      </w:r>
      <w:r w:rsidR="005A702E" w:rsidRPr="000D424C">
        <w:t>school achievement</w:t>
      </w:r>
      <w:r w:rsidR="00073E8C" w:rsidRPr="000D424C">
        <w:t xml:space="preserve"> </w:t>
      </w:r>
      <w:r w:rsidR="005A702E" w:rsidRPr="000D424C">
        <w:t>(e.g.</w:t>
      </w:r>
      <w:r w:rsidR="000D424C" w:rsidRPr="000D424C">
        <w:t xml:space="preserve"> Pietarinen, Soini, &amp; Pyhältö, 2014</w:t>
      </w:r>
      <w:r w:rsidR="00073E8C" w:rsidRPr="000D424C">
        <w:t>; Lohre et</w:t>
      </w:r>
      <w:r w:rsidR="00055874" w:rsidRPr="000D424C">
        <w:t xml:space="preserve"> a</w:t>
      </w:r>
      <w:r w:rsidR="00073E8C" w:rsidRPr="000D424C">
        <w:t>l</w:t>
      </w:r>
      <w:r w:rsidR="00055874" w:rsidRPr="000D424C">
        <w:t>.,</w:t>
      </w:r>
      <w:r w:rsidR="00073E8C" w:rsidRPr="000D424C">
        <w:t xml:space="preserve"> 2010</w:t>
      </w:r>
      <w:r w:rsidR="005A702E" w:rsidRPr="000D424C">
        <w:t>)</w:t>
      </w:r>
      <w:r w:rsidRPr="000D424C">
        <w:t>.</w:t>
      </w:r>
    </w:p>
    <w:p w14:paraId="3FB07D8A" w14:textId="77777777" w:rsidR="00FB091E" w:rsidRDefault="006E2006" w:rsidP="00997091">
      <w:r w:rsidRPr="00446E4F">
        <w:t>Hence, s</w:t>
      </w:r>
      <w:r w:rsidR="00151046" w:rsidRPr="00446E4F">
        <w:t xml:space="preserve">ocial interaction, including the </w:t>
      </w:r>
      <w:r w:rsidRPr="00446E4F">
        <w:t>sense o</w:t>
      </w:r>
      <w:r w:rsidR="00151046" w:rsidRPr="00446E4F">
        <w:t>f</w:t>
      </w:r>
      <w:r w:rsidR="00055874" w:rsidRPr="00446E4F">
        <w:t xml:space="preserve"> </w:t>
      </w:r>
      <w:r w:rsidR="0015414E" w:rsidRPr="00446E4F">
        <w:t>belonging</w:t>
      </w:r>
      <w:r w:rsidR="00055874" w:rsidRPr="00446E4F">
        <w:t>,</w:t>
      </w:r>
      <w:r w:rsidR="00055874" w:rsidRPr="000D424C">
        <w:t xml:space="preserve"> </w:t>
      </w:r>
      <w:r w:rsidR="00AD5706" w:rsidRPr="000D424C">
        <w:t>is found</w:t>
      </w:r>
      <w:r w:rsidR="009D2028" w:rsidRPr="000D424C">
        <w:t xml:space="preserve"> to be a central antecedent for </w:t>
      </w:r>
      <w:r w:rsidR="00055874" w:rsidRPr="000D424C">
        <w:t xml:space="preserve">an </w:t>
      </w:r>
      <w:r w:rsidR="009D2028" w:rsidRPr="000D424C">
        <w:t xml:space="preserve">engaging school experience (Finn &amp; Rock, 1997; McDonald &amp; </w:t>
      </w:r>
      <w:r w:rsidR="006E6BF8" w:rsidRPr="000D424C">
        <w:t>Marsh</w:t>
      </w:r>
      <w:r w:rsidR="009D2028" w:rsidRPr="000D424C">
        <w:t>, 200</w:t>
      </w:r>
      <w:r w:rsidR="006E6BF8" w:rsidRPr="000D424C">
        <w:t>4</w:t>
      </w:r>
      <w:r w:rsidR="009D2028" w:rsidRPr="000D424C">
        <w:t>; Seligman &amp;</w:t>
      </w:r>
      <w:r w:rsidR="009D2028" w:rsidRPr="003F0FA3">
        <w:t xml:space="preserve"> Csikszentmihalyi, 2000</w:t>
      </w:r>
      <w:r w:rsidR="009D2028" w:rsidRPr="000D424C">
        <w:t>)</w:t>
      </w:r>
      <w:r w:rsidR="00B74EE2" w:rsidRPr="000D424C">
        <w:t>.</w:t>
      </w:r>
      <w:r w:rsidR="009D2028" w:rsidRPr="000D424C">
        <w:t xml:space="preserve"> </w:t>
      </w:r>
      <w:r w:rsidR="00446E4F" w:rsidRPr="00446E4F">
        <w:t>More specifically, in peer interaction the sense of belonging is shown to be the core of the engaging school experience. However, maintaining the functional peer relations and engaging effectively in school's academic tasks seem to form social tension for students (e.g. Ulmanen, Soini, Pyhältö, &amp; Pietarinen, 2014).</w:t>
      </w:r>
      <w:r w:rsidR="00446E4F" w:rsidRPr="000D424C">
        <w:t xml:space="preserve"> </w:t>
      </w:r>
      <w:r w:rsidR="00B74EE2" w:rsidRPr="000D424C">
        <w:t>C</w:t>
      </w:r>
      <w:r w:rsidR="00E17125" w:rsidRPr="000D424C">
        <w:t>onstructive and re</w:t>
      </w:r>
      <w:r w:rsidR="0008381A" w:rsidRPr="000D424C">
        <w:t>ciprocal interaction within the school community</w:t>
      </w:r>
      <w:r w:rsidR="00AD5706" w:rsidRPr="000D424C">
        <w:t>,</w:t>
      </w:r>
      <w:r w:rsidR="00151046" w:rsidRPr="000D424C">
        <w:t xml:space="preserve"> and positive acknowledg</w:t>
      </w:r>
      <w:r w:rsidR="00B74EE2" w:rsidRPr="000D424C">
        <w:t>ment</w:t>
      </w:r>
      <w:r w:rsidR="00151046" w:rsidRPr="000D424C">
        <w:t xml:space="preserve"> by others</w:t>
      </w:r>
      <w:r w:rsidR="00E17125" w:rsidRPr="000D424C">
        <w:t xml:space="preserve">, has been found to be a significant determinant for </w:t>
      </w:r>
      <w:r w:rsidR="00F42F36" w:rsidRPr="000D424C">
        <w:t>emotional e</w:t>
      </w:r>
      <w:r w:rsidR="00E17125" w:rsidRPr="000D424C">
        <w:t>ngagement (Grotevant, Wroebel, Dulmen van</w:t>
      </w:r>
      <w:r w:rsidR="004E337A" w:rsidRPr="000D424C">
        <w:t>, and</w:t>
      </w:r>
      <w:r w:rsidR="00151046" w:rsidRPr="000D424C">
        <w:t xml:space="preserve"> McRoy,</w:t>
      </w:r>
      <w:r w:rsidR="00E17125" w:rsidRPr="000D424C">
        <w:t xml:space="preserve"> 2001). </w:t>
      </w:r>
      <w:r w:rsidR="00B74EE2" w:rsidRPr="000D424C">
        <w:t>T</w:t>
      </w:r>
      <w:r w:rsidR="00250025" w:rsidRPr="000D424C">
        <w:t xml:space="preserve">he quality of peer interaction </w:t>
      </w:r>
      <w:r w:rsidR="00B74EE2" w:rsidRPr="000D424C">
        <w:t xml:space="preserve">has also been </w:t>
      </w:r>
      <w:r w:rsidR="00DB2480">
        <w:t>shown to play a</w:t>
      </w:r>
      <w:r w:rsidR="00250025" w:rsidRPr="000D424C">
        <w:t xml:space="preserve"> role in</w:t>
      </w:r>
      <w:r w:rsidR="00414CEC" w:rsidRPr="000D424C">
        <w:t xml:space="preserve"> sch</w:t>
      </w:r>
      <w:r w:rsidR="00250025" w:rsidRPr="000D424C">
        <w:t>ool engagement</w:t>
      </w:r>
      <w:r w:rsidR="00151046" w:rsidRPr="000D424C">
        <w:t xml:space="preserve"> (see also </w:t>
      </w:r>
      <w:r w:rsidR="00250025" w:rsidRPr="000D424C">
        <w:t xml:space="preserve">Furrer &amp; Skinner, 2003; </w:t>
      </w:r>
      <w:r w:rsidR="00151046" w:rsidRPr="000D424C">
        <w:t xml:space="preserve">Kunnari &amp; Lipponen, </w:t>
      </w:r>
      <w:r w:rsidR="00414CEC" w:rsidRPr="000D424C">
        <w:t>2010</w:t>
      </w:r>
      <w:r w:rsidR="00151046" w:rsidRPr="000D424C">
        <w:t xml:space="preserve">; </w:t>
      </w:r>
      <w:r w:rsidR="00151046" w:rsidRPr="00446E4F">
        <w:t>Ulmanen</w:t>
      </w:r>
      <w:r w:rsidR="00BB45D1" w:rsidRPr="00446E4F">
        <w:t xml:space="preserve"> et al.,</w:t>
      </w:r>
      <w:r w:rsidR="00A05119" w:rsidRPr="00446E4F">
        <w:t xml:space="preserve"> </w:t>
      </w:r>
      <w:r w:rsidR="00151046" w:rsidRPr="00446E4F">
        <w:t>201</w:t>
      </w:r>
      <w:r w:rsidR="00A05119" w:rsidRPr="00446E4F">
        <w:t>4</w:t>
      </w:r>
      <w:r w:rsidR="00414CEC" w:rsidRPr="00446E4F">
        <w:t>).</w:t>
      </w:r>
      <w:r w:rsidR="00414CEC" w:rsidRPr="000D424C">
        <w:t xml:space="preserve"> </w:t>
      </w:r>
      <w:r w:rsidR="00BD0FAC" w:rsidRPr="000D424C">
        <w:t>For instance, a</w:t>
      </w:r>
      <w:r w:rsidR="009D2028" w:rsidRPr="000D424C">
        <w:t xml:space="preserve"> high level of social optimism</w:t>
      </w:r>
      <w:r w:rsidR="00FB2348" w:rsidRPr="000D424C">
        <w:t xml:space="preserve">, </w:t>
      </w:r>
      <w:r w:rsidR="009D2028" w:rsidRPr="000D424C">
        <w:t xml:space="preserve">combined with a low level of social withdrawal </w:t>
      </w:r>
      <w:r w:rsidR="00FB2348" w:rsidRPr="000D424C">
        <w:t xml:space="preserve">has been shown to </w:t>
      </w:r>
      <w:r w:rsidR="009D2028" w:rsidRPr="000D424C">
        <w:t xml:space="preserve">reduce burnout and increase student engagement </w:t>
      </w:r>
      <w:r w:rsidR="009D2028" w:rsidRPr="00872623">
        <w:t>(Salmela-Aro</w:t>
      </w:r>
      <w:r w:rsidR="00A05119" w:rsidRPr="00872623">
        <w:t xml:space="preserve">, Tolvanen, &amp; Nurmi, </w:t>
      </w:r>
      <w:r w:rsidR="009D2028" w:rsidRPr="00872623">
        <w:t>2011).</w:t>
      </w:r>
      <w:r w:rsidR="009D2028" w:rsidRPr="000D424C">
        <w:t xml:space="preserve"> </w:t>
      </w:r>
      <w:r w:rsidR="0039505A" w:rsidRPr="00D93E1E">
        <w:t xml:space="preserve">Furthermore, social competence may serve as an important base for students´ sense of belonging in social relationships (Salmela-Aro et al., 2011). </w:t>
      </w:r>
      <w:r w:rsidR="009D2028" w:rsidRPr="00D93E1E">
        <w:t>There</w:t>
      </w:r>
      <w:r w:rsidR="009D2028" w:rsidRPr="000D424C">
        <w:t xml:space="preserve"> is also some evidence that </w:t>
      </w:r>
      <w:r w:rsidR="00F42F36" w:rsidRPr="000D424C">
        <w:t>student</w:t>
      </w:r>
      <w:r w:rsidR="00B74EE2" w:rsidRPr="000D424C">
        <w:t>s</w:t>
      </w:r>
      <w:r w:rsidR="00F42F36" w:rsidRPr="000D424C">
        <w:t xml:space="preserve"> </w:t>
      </w:r>
      <w:r w:rsidR="009D2028" w:rsidRPr="000D424C">
        <w:t xml:space="preserve">who feel unimportant or rejected are more likely to be frustrated and </w:t>
      </w:r>
      <w:r w:rsidR="00BD0FAC" w:rsidRPr="000D424C">
        <w:t>to experience</w:t>
      </w:r>
      <w:r w:rsidR="009D2028" w:rsidRPr="000D424C">
        <w:t xml:space="preserve"> </w:t>
      </w:r>
      <w:r w:rsidR="00BD0FAC" w:rsidRPr="000D424C">
        <w:t>alienation</w:t>
      </w:r>
      <w:r w:rsidR="009D2028" w:rsidRPr="000D424C">
        <w:t xml:space="preserve"> from learning activities</w:t>
      </w:r>
      <w:r w:rsidR="00414CEC" w:rsidRPr="000D424C">
        <w:t xml:space="preserve"> </w:t>
      </w:r>
      <w:r w:rsidR="009D2028" w:rsidRPr="000D424C">
        <w:t>(Furrer &amp; Skinner</w:t>
      </w:r>
      <w:r w:rsidR="00252796" w:rsidRPr="000D424C">
        <w:t>,</w:t>
      </w:r>
      <w:r w:rsidR="009D2028" w:rsidRPr="000D424C">
        <w:t xml:space="preserve"> 2003)</w:t>
      </w:r>
      <w:r w:rsidR="0003229D" w:rsidRPr="000D424C">
        <w:t>.</w:t>
      </w:r>
      <w:r w:rsidR="009D2028" w:rsidRPr="000D424C">
        <w:t xml:space="preserve"> </w:t>
      </w:r>
      <w:r w:rsidR="00414CEC" w:rsidRPr="000D424C">
        <w:rPr>
          <w:rFonts w:eastAsia="Times New Roman" w:cs="Times New Roman"/>
          <w:color w:val="000000"/>
        </w:rPr>
        <w:t xml:space="preserve"> </w:t>
      </w:r>
    </w:p>
    <w:p w14:paraId="70CCF251" w14:textId="77777777" w:rsidR="00FB091E" w:rsidRDefault="00C50C58" w:rsidP="00997091">
      <w:pPr>
        <w:rPr>
          <w:rFonts w:eastAsia="Times New Roman" w:cs="Times New Roman"/>
          <w:color w:val="000000"/>
        </w:rPr>
      </w:pPr>
      <w:r w:rsidRPr="000D424C">
        <w:t xml:space="preserve">Accordingly, </w:t>
      </w:r>
      <w:r w:rsidR="00CC1030" w:rsidRPr="000D424C">
        <w:t>e</w:t>
      </w:r>
      <w:r w:rsidR="00CC1030" w:rsidRPr="000D424C">
        <w:rPr>
          <w:rFonts w:eastAsia="Times New Roman" w:cs="Times New Roman"/>
          <w:color w:val="000000"/>
        </w:rPr>
        <w:t xml:space="preserve">motional engagement </w:t>
      </w:r>
      <w:r w:rsidR="00F81891" w:rsidRPr="000D424C">
        <w:rPr>
          <w:rFonts w:eastAsia="Times New Roman" w:cs="Times New Roman"/>
          <w:color w:val="000000"/>
        </w:rPr>
        <w:t xml:space="preserve">reflecting </w:t>
      </w:r>
      <w:r w:rsidR="00CC1030" w:rsidRPr="000D424C">
        <w:rPr>
          <w:rFonts w:eastAsia="Times New Roman" w:cs="Times New Roman"/>
          <w:color w:val="000000"/>
        </w:rPr>
        <w:t>the quality of relationships with teachers and peers is suggested to contribute to cognitive engagement</w:t>
      </w:r>
      <w:r w:rsidR="00BD0FAC" w:rsidRPr="000D424C">
        <w:rPr>
          <w:rFonts w:eastAsia="Times New Roman" w:cs="Times New Roman"/>
          <w:color w:val="000000"/>
        </w:rPr>
        <w:t>,</w:t>
      </w:r>
      <w:r w:rsidR="00CC1030" w:rsidRPr="000D424C">
        <w:rPr>
          <w:rFonts w:eastAsia="Times New Roman" w:cs="Times New Roman"/>
          <w:color w:val="000000"/>
        </w:rPr>
        <w:t xml:space="preserve"> and</w:t>
      </w:r>
      <w:r w:rsidR="00BD0FAC" w:rsidRPr="000D424C">
        <w:rPr>
          <w:rFonts w:eastAsia="Times New Roman" w:cs="Times New Roman"/>
          <w:color w:val="000000"/>
        </w:rPr>
        <w:t xml:space="preserve"> </w:t>
      </w:r>
      <w:r w:rsidR="00B74EE2" w:rsidRPr="000D424C">
        <w:rPr>
          <w:rFonts w:eastAsia="Times New Roman" w:cs="Times New Roman"/>
          <w:color w:val="000000"/>
        </w:rPr>
        <w:t xml:space="preserve">to </w:t>
      </w:r>
      <w:r w:rsidR="00BD0FAC" w:rsidRPr="000D424C">
        <w:rPr>
          <w:rFonts w:eastAsia="Times New Roman" w:cs="Times New Roman"/>
          <w:color w:val="000000"/>
        </w:rPr>
        <w:t>further</w:t>
      </w:r>
      <w:r w:rsidR="00CC1030" w:rsidRPr="000D424C">
        <w:rPr>
          <w:rFonts w:eastAsia="Times New Roman" w:cs="Times New Roman"/>
          <w:color w:val="000000"/>
        </w:rPr>
        <w:t xml:space="preserve"> </w:t>
      </w:r>
      <w:r w:rsidR="00BD0FAC" w:rsidRPr="000D424C">
        <w:rPr>
          <w:rFonts w:eastAsia="Times New Roman" w:cs="Times New Roman"/>
          <w:color w:val="000000"/>
        </w:rPr>
        <w:t>result</w:t>
      </w:r>
      <w:r w:rsidR="00F81891" w:rsidRPr="000D424C">
        <w:rPr>
          <w:rFonts w:eastAsia="Times New Roman" w:cs="Times New Roman"/>
          <w:color w:val="000000"/>
        </w:rPr>
        <w:t xml:space="preserve"> in </w:t>
      </w:r>
      <w:r w:rsidR="00B74EE2" w:rsidRPr="000D424C">
        <w:rPr>
          <w:rFonts w:eastAsia="Times New Roman" w:cs="Times New Roman"/>
          <w:color w:val="000000"/>
        </w:rPr>
        <w:lastRenderedPageBreak/>
        <w:t xml:space="preserve">increased </w:t>
      </w:r>
      <w:r w:rsidR="00F81891" w:rsidRPr="000D424C">
        <w:rPr>
          <w:rFonts w:eastAsia="Times New Roman" w:cs="Times New Roman"/>
          <w:color w:val="000000"/>
        </w:rPr>
        <w:t>engaged behavior</w:t>
      </w:r>
      <w:r w:rsidR="00CC1030" w:rsidRPr="000D424C">
        <w:rPr>
          <w:rFonts w:eastAsia="Times New Roman" w:cs="Times New Roman"/>
          <w:color w:val="000000"/>
        </w:rPr>
        <w:t xml:space="preserve"> (e.g., Skinner</w:t>
      </w:r>
      <w:r w:rsidR="00B65516" w:rsidRPr="000D424C">
        <w:rPr>
          <w:rFonts w:eastAsia="Times New Roman" w:cs="Times New Roman"/>
          <w:color w:val="000000"/>
        </w:rPr>
        <w:t xml:space="preserve">, Furrer, Marchand, &amp; Kindermann, </w:t>
      </w:r>
      <w:r w:rsidR="00CC1030" w:rsidRPr="000D424C">
        <w:rPr>
          <w:rFonts w:eastAsia="Times New Roman" w:cs="Times New Roman"/>
          <w:color w:val="000000"/>
        </w:rPr>
        <w:t>2008; Li &amp; Lerner, 2012).</w:t>
      </w:r>
      <w:r w:rsidR="00A254D4" w:rsidRPr="000D424C">
        <w:rPr>
          <w:rFonts w:eastAsia="Times New Roman" w:cs="Times New Roman"/>
          <w:color w:val="000000"/>
        </w:rPr>
        <w:t xml:space="preserve"> However, </w:t>
      </w:r>
      <w:r w:rsidR="001A2520" w:rsidRPr="000D424C">
        <w:rPr>
          <w:rFonts w:eastAsia="Times New Roman" w:cs="Times New Roman"/>
          <w:color w:val="000000"/>
        </w:rPr>
        <w:t>significant school experience</w:t>
      </w:r>
      <w:r w:rsidR="00F81891" w:rsidRPr="000D424C">
        <w:rPr>
          <w:rFonts w:eastAsia="Times New Roman" w:cs="Times New Roman"/>
          <w:color w:val="000000"/>
        </w:rPr>
        <w:t>s</w:t>
      </w:r>
      <w:r w:rsidR="006C499F" w:rsidRPr="000D424C">
        <w:rPr>
          <w:rFonts w:eastAsia="Times New Roman" w:cs="Times New Roman"/>
          <w:color w:val="000000"/>
        </w:rPr>
        <w:t xml:space="preserve"> </w:t>
      </w:r>
      <w:r w:rsidR="00F81891" w:rsidRPr="000D424C">
        <w:rPr>
          <w:rFonts w:eastAsia="Times New Roman" w:cs="Times New Roman"/>
          <w:color w:val="000000"/>
        </w:rPr>
        <w:t xml:space="preserve">and their </w:t>
      </w:r>
      <w:r w:rsidR="006910DB" w:rsidRPr="000D424C">
        <w:rPr>
          <w:rFonts w:eastAsia="Times New Roman" w:cs="Times New Roman"/>
          <w:color w:val="000000"/>
        </w:rPr>
        <w:t xml:space="preserve">consistency along the educational path, </w:t>
      </w:r>
      <w:r w:rsidR="00B74EE2" w:rsidRPr="000D424C">
        <w:rPr>
          <w:rFonts w:eastAsia="Times New Roman" w:cs="Times New Roman"/>
          <w:color w:val="000000"/>
        </w:rPr>
        <w:t xml:space="preserve">which </w:t>
      </w:r>
      <w:r w:rsidR="00F81891" w:rsidRPr="000D424C">
        <w:rPr>
          <w:rFonts w:eastAsia="Times New Roman" w:cs="Times New Roman"/>
          <w:color w:val="000000"/>
        </w:rPr>
        <w:t>contribute</w:t>
      </w:r>
      <w:r w:rsidR="00B74EE2" w:rsidRPr="000D424C">
        <w:rPr>
          <w:rFonts w:eastAsia="Times New Roman" w:cs="Times New Roman"/>
          <w:color w:val="000000"/>
        </w:rPr>
        <w:t>s</w:t>
      </w:r>
      <w:r w:rsidR="006C499F" w:rsidRPr="000D424C">
        <w:rPr>
          <w:rFonts w:eastAsia="Times New Roman" w:cs="Times New Roman"/>
          <w:color w:val="000000"/>
        </w:rPr>
        <w:t xml:space="preserve"> </w:t>
      </w:r>
      <w:r w:rsidR="00B74EE2" w:rsidRPr="000D424C">
        <w:rPr>
          <w:rFonts w:eastAsia="Times New Roman" w:cs="Times New Roman"/>
          <w:color w:val="000000"/>
        </w:rPr>
        <w:t xml:space="preserve">to </w:t>
      </w:r>
      <w:r w:rsidR="006C499F" w:rsidRPr="000D424C">
        <w:rPr>
          <w:rFonts w:eastAsia="Times New Roman" w:cs="Times New Roman"/>
          <w:color w:val="000000"/>
        </w:rPr>
        <w:t>both students’ emotional and cognitive engagement</w:t>
      </w:r>
      <w:r w:rsidR="00B74EE2" w:rsidRPr="000D424C">
        <w:rPr>
          <w:rFonts w:eastAsia="Times New Roman" w:cs="Times New Roman"/>
          <w:color w:val="000000"/>
        </w:rPr>
        <w:t>,</w:t>
      </w:r>
      <w:r w:rsidR="001A2520" w:rsidRPr="000D424C">
        <w:rPr>
          <w:rFonts w:eastAsia="Times New Roman" w:cs="Times New Roman"/>
          <w:color w:val="000000"/>
        </w:rPr>
        <w:t xml:space="preserve"> ha</w:t>
      </w:r>
      <w:r w:rsidR="00B74EE2" w:rsidRPr="000D424C">
        <w:rPr>
          <w:rFonts w:eastAsia="Times New Roman" w:cs="Times New Roman"/>
          <w:color w:val="000000"/>
        </w:rPr>
        <w:t>ve</w:t>
      </w:r>
      <w:r w:rsidR="001A2520" w:rsidRPr="000D424C">
        <w:rPr>
          <w:rFonts w:eastAsia="Times New Roman" w:cs="Times New Roman"/>
          <w:color w:val="000000"/>
        </w:rPr>
        <w:t xml:space="preserve"> not been </w:t>
      </w:r>
      <w:r w:rsidR="006C499F" w:rsidRPr="000D424C">
        <w:rPr>
          <w:rFonts w:eastAsia="Times New Roman" w:cs="Times New Roman"/>
          <w:color w:val="000000"/>
        </w:rPr>
        <w:t xml:space="preserve">studied extensively by comparing general education students’ </w:t>
      </w:r>
      <w:r w:rsidR="000A0F9A" w:rsidRPr="000D424C">
        <w:rPr>
          <w:rFonts w:eastAsia="Times New Roman" w:cs="Times New Roman"/>
          <w:color w:val="000000"/>
        </w:rPr>
        <w:t xml:space="preserve">school </w:t>
      </w:r>
      <w:r w:rsidR="006C499F" w:rsidRPr="000D424C">
        <w:rPr>
          <w:rFonts w:eastAsia="Times New Roman" w:cs="Times New Roman"/>
          <w:color w:val="000000"/>
        </w:rPr>
        <w:t>experiences</w:t>
      </w:r>
      <w:r w:rsidR="007A4562" w:rsidRPr="000D424C">
        <w:rPr>
          <w:rFonts w:eastAsia="Times New Roman" w:cs="Times New Roman"/>
          <w:color w:val="000000"/>
        </w:rPr>
        <w:t xml:space="preserve"> and school experiences among students with special needs</w:t>
      </w:r>
      <w:r w:rsidR="006C499F" w:rsidRPr="000D424C">
        <w:rPr>
          <w:rFonts w:eastAsia="Times New Roman" w:cs="Times New Roman"/>
          <w:color w:val="000000"/>
        </w:rPr>
        <w:t>.</w:t>
      </w:r>
    </w:p>
    <w:p w14:paraId="01790FCE" w14:textId="77777777" w:rsidR="00FB0CB5" w:rsidRDefault="00FB0CB5" w:rsidP="00997091"/>
    <w:p w14:paraId="1C60076A" w14:textId="77777777" w:rsidR="00FB091E" w:rsidRDefault="00997091" w:rsidP="00997091">
      <w:pPr>
        <w:ind w:firstLine="0"/>
        <w:rPr>
          <w:b/>
        </w:rPr>
      </w:pPr>
      <w:r>
        <w:rPr>
          <w:b/>
        </w:rPr>
        <w:t>Engaging Students with S</w:t>
      </w:r>
      <w:r w:rsidR="009D2028" w:rsidRPr="000229B9">
        <w:rPr>
          <w:b/>
        </w:rPr>
        <w:t xml:space="preserve">pecial </w:t>
      </w:r>
      <w:r>
        <w:rPr>
          <w:b/>
        </w:rPr>
        <w:t>N</w:t>
      </w:r>
      <w:r w:rsidR="00F305CC" w:rsidRPr="000229B9">
        <w:rPr>
          <w:b/>
        </w:rPr>
        <w:t>eeds</w:t>
      </w:r>
      <w:r w:rsidR="005E4EB8" w:rsidRPr="000229B9">
        <w:rPr>
          <w:b/>
        </w:rPr>
        <w:t xml:space="preserve"> </w:t>
      </w:r>
      <w:r w:rsidR="00B74EE2" w:rsidRPr="000229B9">
        <w:rPr>
          <w:b/>
        </w:rPr>
        <w:t xml:space="preserve">in </w:t>
      </w:r>
      <w:r>
        <w:rPr>
          <w:b/>
        </w:rPr>
        <w:t>School A</w:t>
      </w:r>
      <w:r w:rsidR="006E12C5" w:rsidRPr="000229B9">
        <w:rPr>
          <w:b/>
        </w:rPr>
        <w:t>ttendance</w:t>
      </w:r>
    </w:p>
    <w:p w14:paraId="2B091C1E" w14:textId="77777777" w:rsidR="00997091" w:rsidRDefault="00997091" w:rsidP="00997091">
      <w:pPr>
        <w:ind w:firstLine="0"/>
        <w:rPr>
          <w:b/>
          <w:szCs w:val="24"/>
        </w:rPr>
      </w:pPr>
    </w:p>
    <w:p w14:paraId="17886921" w14:textId="77777777" w:rsidR="00FB091E" w:rsidRDefault="009D2028" w:rsidP="00997091">
      <w:r w:rsidRPr="000D424C">
        <w:t xml:space="preserve">Surprisingly little research has </w:t>
      </w:r>
      <w:r w:rsidR="00B84CCB" w:rsidRPr="000D424C">
        <w:t xml:space="preserve">considered the school career of </w:t>
      </w:r>
      <w:r w:rsidR="0021086B" w:rsidRPr="000D424C">
        <w:t>student</w:t>
      </w:r>
      <w:r w:rsidR="001603D2" w:rsidRPr="000D424C">
        <w:t>s</w:t>
      </w:r>
      <w:r w:rsidR="0021086B" w:rsidRPr="000D424C">
        <w:t xml:space="preserve"> </w:t>
      </w:r>
      <w:r w:rsidR="00B84CCB" w:rsidRPr="000D424C">
        <w:t xml:space="preserve">with special needs, even though they represent a </w:t>
      </w:r>
      <w:r w:rsidR="001603D2" w:rsidRPr="000D424C">
        <w:t xml:space="preserve">significant </w:t>
      </w:r>
      <w:r w:rsidRPr="000D424C">
        <w:t xml:space="preserve">minority group of </w:t>
      </w:r>
      <w:r w:rsidR="0021086B" w:rsidRPr="000D424C">
        <w:t xml:space="preserve">students </w:t>
      </w:r>
      <w:r w:rsidR="00B84CCB" w:rsidRPr="000D424C">
        <w:t xml:space="preserve">who study </w:t>
      </w:r>
      <w:r w:rsidRPr="000D424C">
        <w:t xml:space="preserve">together with </w:t>
      </w:r>
      <w:r w:rsidR="001603D2" w:rsidRPr="000D424C">
        <w:t xml:space="preserve">general education </w:t>
      </w:r>
      <w:r w:rsidRPr="000D424C">
        <w:t>students</w:t>
      </w:r>
      <w:r w:rsidR="00827861" w:rsidRPr="000D424C">
        <w:t>,</w:t>
      </w:r>
      <w:r w:rsidRPr="000D424C">
        <w:t xml:space="preserve"> and thus represent </w:t>
      </w:r>
      <w:r w:rsidR="00B84CCB" w:rsidRPr="000D424C">
        <w:t xml:space="preserve">a </w:t>
      </w:r>
      <w:r w:rsidR="001603D2" w:rsidRPr="000D424C">
        <w:t xml:space="preserve">crucial </w:t>
      </w:r>
      <w:r w:rsidR="006B56D2" w:rsidRPr="000D424C">
        <w:t xml:space="preserve">student </w:t>
      </w:r>
      <w:r w:rsidR="001603D2" w:rsidRPr="000D424C">
        <w:t xml:space="preserve">voice for </w:t>
      </w:r>
      <w:r w:rsidR="00B84CCB" w:rsidRPr="000D424C">
        <w:t xml:space="preserve">developing </w:t>
      </w:r>
      <w:r w:rsidRPr="000D424C">
        <w:t>an inclusive school community.</w:t>
      </w:r>
      <w:r w:rsidR="00284B9C" w:rsidRPr="000D424C">
        <w:t xml:space="preserve"> </w:t>
      </w:r>
      <w:r w:rsidR="0081296C" w:rsidRPr="000D424C">
        <w:t>Hence, s</w:t>
      </w:r>
      <w:r w:rsidR="006B52E2" w:rsidRPr="000D424C">
        <w:t>tudents with special needs are largely under</w:t>
      </w:r>
      <w:r w:rsidR="00B74EE2" w:rsidRPr="000D424C">
        <w:t>-</w:t>
      </w:r>
      <w:r w:rsidR="006B52E2" w:rsidRPr="000D424C">
        <w:t>represented in the literature on school engagement</w:t>
      </w:r>
      <w:r w:rsidR="0081296C" w:rsidRPr="000D424C">
        <w:t>.</w:t>
      </w:r>
      <w:r w:rsidR="006B52E2" w:rsidRPr="000D424C">
        <w:t xml:space="preserve"> </w:t>
      </w:r>
      <w:r w:rsidRPr="000D424C">
        <w:t>We know, for instance, very little about the process through which disengagement influences school dropout</w:t>
      </w:r>
      <w:r w:rsidR="006B52E2" w:rsidRPr="000D424C">
        <w:t xml:space="preserve"> rates</w:t>
      </w:r>
      <w:r w:rsidRPr="000D424C">
        <w:t xml:space="preserve"> among students with special </w:t>
      </w:r>
      <w:r w:rsidR="00012091" w:rsidRPr="00872623">
        <w:t>needs</w:t>
      </w:r>
      <w:r w:rsidR="007468B9" w:rsidRPr="00872623">
        <w:t xml:space="preserve"> </w:t>
      </w:r>
      <w:r w:rsidRPr="00872623">
        <w:t>(Fredricks</w:t>
      </w:r>
      <w:r w:rsidRPr="000D424C">
        <w:t>, et al.</w:t>
      </w:r>
      <w:r w:rsidR="00B84CCB" w:rsidRPr="000D424C">
        <w:t>,</w:t>
      </w:r>
      <w:r w:rsidRPr="000D424C">
        <w:t xml:space="preserve"> 2004; Milsom &amp; Glanville, 2010</w:t>
      </w:r>
      <w:r w:rsidR="00B74EE2" w:rsidRPr="000D424C">
        <w:t>;</w:t>
      </w:r>
      <w:r w:rsidRPr="000D424C">
        <w:t xml:space="preserve"> and see also Hasher &amp; Hagenauer, 2010)</w:t>
      </w:r>
      <w:r w:rsidR="00B74EE2" w:rsidRPr="000D424C">
        <w:t>.</w:t>
      </w:r>
    </w:p>
    <w:p w14:paraId="6735D7FD" w14:textId="77777777" w:rsidR="00FB091E" w:rsidRDefault="009D2028" w:rsidP="00997091">
      <w:r w:rsidRPr="00872623">
        <w:t>Furthermore, the</w:t>
      </w:r>
      <w:r w:rsidRPr="000D424C">
        <w:t xml:space="preserve"> degree to which students’ individual needs mediate contextual factors and engagement is not examined in most studies (Fredricks et al.</w:t>
      </w:r>
      <w:r w:rsidR="00252796" w:rsidRPr="000D424C">
        <w:t>,</w:t>
      </w:r>
      <w:r w:rsidRPr="000D424C">
        <w:t xml:space="preserve"> 2004; Salvatore, Nota, &amp; Wehmeyer</w:t>
      </w:r>
      <w:r w:rsidR="00B96FEC" w:rsidRPr="000D424C">
        <w:t>,</w:t>
      </w:r>
      <w:r w:rsidRPr="000D424C">
        <w:t xml:space="preserve"> 2011)</w:t>
      </w:r>
      <w:r w:rsidR="00B00C0F" w:rsidRPr="000D424C">
        <w:t>.</w:t>
      </w:r>
      <w:r w:rsidRPr="000D424C">
        <w:t xml:space="preserve"> </w:t>
      </w:r>
      <w:r w:rsidR="00984247" w:rsidRPr="000D424C">
        <w:t xml:space="preserve"> </w:t>
      </w:r>
      <w:r w:rsidR="00984247" w:rsidRPr="00872623">
        <w:t>For instance,</w:t>
      </w:r>
      <w:r w:rsidR="00984247" w:rsidRPr="000D424C">
        <w:t xml:space="preserve"> </w:t>
      </w:r>
      <w:r w:rsidR="00BE2482">
        <w:t>some</w:t>
      </w:r>
      <w:r w:rsidR="00003A1C" w:rsidRPr="000D424C">
        <w:t xml:space="preserve"> studies have shown that </w:t>
      </w:r>
      <w:r w:rsidR="00B00C0F" w:rsidRPr="000D424C">
        <w:t xml:space="preserve">the </w:t>
      </w:r>
      <w:r w:rsidR="00003A1C" w:rsidRPr="000D424C">
        <w:t>stud</w:t>
      </w:r>
      <w:r w:rsidR="006B52E2" w:rsidRPr="000D424C">
        <w:t>ents</w:t>
      </w:r>
      <w:r w:rsidR="00B00C0F" w:rsidRPr="000D424C">
        <w:t>’</w:t>
      </w:r>
      <w:r w:rsidR="006B52E2" w:rsidRPr="000D424C">
        <w:t xml:space="preserve"> need for autonomy and </w:t>
      </w:r>
      <w:r w:rsidR="00827861" w:rsidRPr="000D424C">
        <w:t>the support provided by the school</w:t>
      </w:r>
      <w:r w:rsidR="006B52E2" w:rsidRPr="000D424C">
        <w:t xml:space="preserve"> correlate </w:t>
      </w:r>
      <w:r w:rsidR="00003A1C" w:rsidRPr="000D424C">
        <w:t>with emotional engagement</w:t>
      </w:r>
      <w:r w:rsidR="006B52E2" w:rsidRPr="000D424C">
        <w:t xml:space="preserve"> (e.g. Reschly &amp; Christensen, 2006</w:t>
      </w:r>
      <w:r w:rsidR="0081296C" w:rsidRPr="000D424C">
        <w:t xml:space="preserve">). </w:t>
      </w:r>
      <w:r w:rsidR="000701FA" w:rsidRPr="00872623">
        <w:t xml:space="preserve">However, Reschly and Christenson (2006) have shown </w:t>
      </w:r>
      <w:r w:rsidR="000701FA" w:rsidRPr="00872623">
        <w:rPr>
          <w:kern w:val="28"/>
        </w:rPr>
        <w:t>that students with mild disabilities and their average achieving peers had small but significant differences in terms of their engagement at school</w:t>
      </w:r>
      <w:r w:rsidR="008062E8" w:rsidRPr="00872623">
        <w:rPr>
          <w:kern w:val="28"/>
        </w:rPr>
        <w:t>: w</w:t>
      </w:r>
      <w:r w:rsidR="000701FA" w:rsidRPr="00872623">
        <w:rPr>
          <w:kern w:val="28"/>
        </w:rPr>
        <w:t>ithin these groups misbehavior and a lack of preparation for classes, such as coming to class without a pencil, paper, or book or with uncompleted homework, were significant predictors of dropping out and staying in school.</w:t>
      </w:r>
      <w:r w:rsidR="000701FA">
        <w:rPr>
          <w:kern w:val="28"/>
        </w:rPr>
        <w:t xml:space="preserve"> </w:t>
      </w:r>
      <w:r w:rsidR="0081296C" w:rsidRPr="000D424C">
        <w:t xml:space="preserve">Moreover, there is </w:t>
      </w:r>
      <w:r w:rsidR="00827861" w:rsidRPr="000D424C">
        <w:t>evidence that certain</w:t>
      </w:r>
      <w:r w:rsidR="00F53966" w:rsidRPr="000D424C">
        <w:t xml:space="preserve"> form</w:t>
      </w:r>
      <w:r w:rsidR="00827861" w:rsidRPr="000D424C">
        <w:t>s of inclusive</w:t>
      </w:r>
      <w:r w:rsidR="00F53966" w:rsidRPr="000D424C">
        <w:t xml:space="preserve"> practices, such as studying </w:t>
      </w:r>
      <w:r w:rsidR="0081296C" w:rsidRPr="000D424C">
        <w:t xml:space="preserve">integrated with other students and simultaneously </w:t>
      </w:r>
      <w:r w:rsidR="00F53966" w:rsidRPr="000D424C">
        <w:t xml:space="preserve">receiving </w:t>
      </w:r>
      <w:r w:rsidR="0081296C" w:rsidRPr="000D424C">
        <w:t xml:space="preserve">extra </w:t>
      </w:r>
      <w:r w:rsidR="00F53966" w:rsidRPr="000D424C">
        <w:t>support</w:t>
      </w:r>
      <w:r w:rsidR="00B00C0F" w:rsidRPr="000D424C">
        <w:t>,</w:t>
      </w:r>
      <w:r w:rsidR="00F53966" w:rsidRPr="000D424C">
        <w:t xml:space="preserve"> seem</w:t>
      </w:r>
      <w:r w:rsidR="0081296C" w:rsidRPr="000D424C">
        <w:t xml:space="preserve"> to promote </w:t>
      </w:r>
      <w:r w:rsidR="00827861" w:rsidRPr="000D424C">
        <w:t xml:space="preserve">school engagement by generating </w:t>
      </w:r>
      <w:r w:rsidR="00F53966" w:rsidRPr="000D424C">
        <w:t xml:space="preserve">positive </w:t>
      </w:r>
      <w:r w:rsidR="00827861" w:rsidRPr="000D424C">
        <w:t xml:space="preserve">school experiences in terms </w:t>
      </w:r>
      <w:r w:rsidR="00827861" w:rsidRPr="00284FBB">
        <w:t>of</w:t>
      </w:r>
      <w:r w:rsidR="00F53966" w:rsidRPr="00284FBB">
        <w:t xml:space="preserve"> </w:t>
      </w:r>
      <w:r w:rsidR="000E2377" w:rsidRPr="00284FBB">
        <w:t xml:space="preserve">the </w:t>
      </w:r>
      <w:r w:rsidR="00F53966" w:rsidRPr="00284FBB">
        <w:t>sense of equality</w:t>
      </w:r>
      <w:r w:rsidR="0081296C" w:rsidRPr="00284FBB">
        <w:t xml:space="preserve"> and</w:t>
      </w:r>
      <w:r w:rsidR="00E61822" w:rsidRPr="00284FBB">
        <w:t xml:space="preserve"> </w:t>
      </w:r>
      <w:r w:rsidR="00F53966" w:rsidRPr="00284FBB">
        <w:t>being acknowledged (</w:t>
      </w:r>
      <w:r w:rsidR="00D0781B" w:rsidRPr="00284FBB">
        <w:t>Matzen, Ryndak, &amp;</w:t>
      </w:r>
      <w:r w:rsidR="00D0781B" w:rsidRPr="00872623">
        <w:t xml:space="preserve"> Nakao, 2010; </w:t>
      </w:r>
      <w:r w:rsidR="00F53966" w:rsidRPr="00872623">
        <w:t>Pitt &amp; Curtin, 2004</w:t>
      </w:r>
      <w:r w:rsidR="00D0781B" w:rsidRPr="00872623">
        <w:t>)</w:t>
      </w:r>
      <w:r w:rsidR="00F53966" w:rsidRPr="00872623">
        <w:t>.</w:t>
      </w:r>
      <w:r w:rsidR="00F53966" w:rsidRPr="000D424C">
        <w:t xml:space="preserve"> </w:t>
      </w:r>
      <w:r w:rsidR="00827861" w:rsidRPr="000D424C">
        <w:t>This implies that</w:t>
      </w:r>
      <w:r w:rsidR="005F2989" w:rsidRPr="000D424C">
        <w:t xml:space="preserve"> students’ school engag</w:t>
      </w:r>
      <w:r w:rsidR="0081296C" w:rsidRPr="000D424C">
        <w:t>ement i</w:t>
      </w:r>
      <w:r w:rsidR="00827861" w:rsidRPr="000D424C">
        <w:t xml:space="preserve">s at least partly </w:t>
      </w:r>
      <w:r w:rsidR="00FD17DD" w:rsidRPr="000D424C">
        <w:t xml:space="preserve">regulated by students’ </w:t>
      </w:r>
      <w:r w:rsidR="0081296C" w:rsidRPr="000D424C">
        <w:t>self-assessed</w:t>
      </w:r>
      <w:r w:rsidR="0014046B" w:rsidRPr="000D424C">
        <w:t xml:space="preserve"> a</w:t>
      </w:r>
      <w:r w:rsidR="0081296C" w:rsidRPr="000D424C">
        <w:t xml:space="preserve">cademic skills and </w:t>
      </w:r>
      <w:r w:rsidR="00B00C0F" w:rsidRPr="000D424C">
        <w:t xml:space="preserve">their </w:t>
      </w:r>
      <w:r w:rsidR="0081296C" w:rsidRPr="000D424C">
        <w:t>achievement compared to others (</w:t>
      </w:r>
      <w:r w:rsidRPr="000D424C">
        <w:rPr>
          <w:kern w:val="28"/>
        </w:rPr>
        <w:t xml:space="preserve">Reschly </w:t>
      </w:r>
      <w:r w:rsidR="0081296C" w:rsidRPr="000D424C">
        <w:rPr>
          <w:kern w:val="28"/>
        </w:rPr>
        <w:t xml:space="preserve">&amp; Christenson, </w:t>
      </w:r>
      <w:r w:rsidRPr="000D424C">
        <w:rPr>
          <w:kern w:val="28"/>
        </w:rPr>
        <w:t>2006)</w:t>
      </w:r>
      <w:r w:rsidR="00B00C0F" w:rsidRPr="000D424C">
        <w:rPr>
          <w:kern w:val="28"/>
        </w:rPr>
        <w:t>.</w:t>
      </w:r>
    </w:p>
    <w:p w14:paraId="17ABE190" w14:textId="77777777" w:rsidR="00FB091E" w:rsidRDefault="00F46C41" w:rsidP="00997091">
      <w:pPr>
        <w:rPr>
          <w:rFonts w:cs="Times New Roman"/>
          <w:szCs w:val="24"/>
          <w:lang w:val="en-GB"/>
        </w:rPr>
      </w:pPr>
      <w:r w:rsidRPr="00872623">
        <w:t>The</w:t>
      </w:r>
      <w:r w:rsidR="009D2028" w:rsidRPr="00872623">
        <w:t xml:space="preserve"> s</w:t>
      </w:r>
      <w:r w:rsidR="009D2028" w:rsidRPr="000D424C">
        <w:t>ocial and cultural context</w:t>
      </w:r>
      <w:r w:rsidRPr="000D424C">
        <w:t xml:space="preserve">s </w:t>
      </w:r>
      <w:r w:rsidR="00B00C0F" w:rsidRPr="000D424C">
        <w:t xml:space="preserve">also </w:t>
      </w:r>
      <w:r w:rsidRPr="000D424C">
        <w:t>play a role in</w:t>
      </w:r>
      <w:r w:rsidR="000718CD" w:rsidRPr="000D424C">
        <w:t xml:space="preserve"> </w:t>
      </w:r>
      <w:r w:rsidR="00B00C0F" w:rsidRPr="000D424C">
        <w:t xml:space="preserve">an </w:t>
      </w:r>
      <w:r w:rsidR="000718CD" w:rsidRPr="000D424C">
        <w:t>engaging school experience</w:t>
      </w:r>
      <w:r w:rsidRPr="000D424C">
        <w:t xml:space="preserve"> among students with special needs</w:t>
      </w:r>
      <w:r w:rsidR="00827861" w:rsidRPr="000D424C">
        <w:t xml:space="preserve"> (Baglieri</w:t>
      </w:r>
      <w:r w:rsidR="007721EE">
        <w:t>, Valle, Connor, &amp; Gallagher,</w:t>
      </w:r>
      <w:r w:rsidR="00827861" w:rsidRPr="000D424C">
        <w:t xml:space="preserve"> 2011)</w:t>
      </w:r>
      <w:r w:rsidR="009D2028" w:rsidRPr="000D424C">
        <w:t>.</w:t>
      </w:r>
      <w:r w:rsidR="00AE3F32" w:rsidRPr="000D424C">
        <w:t xml:space="preserve"> </w:t>
      </w:r>
      <w:r w:rsidR="000718CD" w:rsidRPr="000D424C">
        <w:t xml:space="preserve">For instance, </w:t>
      </w:r>
      <w:r w:rsidR="0055716F" w:rsidRPr="000D424C">
        <w:t>g</w:t>
      </w:r>
      <w:r w:rsidR="0055716F" w:rsidRPr="000D424C">
        <w:rPr>
          <w:lang w:val="en-GB"/>
        </w:rPr>
        <w:t xml:space="preserve">ood quality teacher relationships and a supportive climate in the classroom appear to be the factors behind school satisfaction </w:t>
      </w:r>
      <w:r w:rsidRPr="000D424C">
        <w:rPr>
          <w:lang w:val="en-GB"/>
        </w:rPr>
        <w:t xml:space="preserve">among Finnish students attending special education classes </w:t>
      </w:r>
      <w:r w:rsidR="0055716F" w:rsidRPr="000D424C">
        <w:rPr>
          <w:lang w:val="en-GB"/>
        </w:rPr>
        <w:t>(Uusitalo-Malmivaara et al., 2009).</w:t>
      </w:r>
      <w:r w:rsidR="000718CD" w:rsidRPr="000D424C">
        <w:t xml:space="preserve"> </w:t>
      </w:r>
      <w:r w:rsidR="00B00C0F" w:rsidRPr="000D424C">
        <w:t>P</w:t>
      </w:r>
      <w:r w:rsidR="00375BC6" w:rsidRPr="000D424C">
        <w:t xml:space="preserve">eer support and approval is </w:t>
      </w:r>
      <w:r w:rsidRPr="000D424C">
        <w:t xml:space="preserve">shown to be </w:t>
      </w:r>
      <w:r w:rsidR="00375BC6" w:rsidRPr="000D424C">
        <w:t>an important issue for al</w:t>
      </w:r>
      <w:r w:rsidRPr="000D424C">
        <w:t xml:space="preserve">l students, but it is </w:t>
      </w:r>
      <w:r w:rsidR="000718CD" w:rsidRPr="000D424C">
        <w:t>suggested to be especially</w:t>
      </w:r>
      <w:r w:rsidR="00375BC6" w:rsidRPr="000D424C">
        <w:t xml:space="preserve"> important for students with special needs, who may feel rejected by other students (Lovitt, Plavins, &amp; Cushing, 1999). </w:t>
      </w:r>
      <w:r w:rsidR="00BA04F8">
        <w:t>For example</w:t>
      </w:r>
      <w:r w:rsidR="00BA04F8" w:rsidRPr="00872623">
        <w:t>, in some studies (</w:t>
      </w:r>
      <w:r w:rsidR="00966719" w:rsidRPr="00872623">
        <w:t>Bossaert</w:t>
      </w:r>
      <w:r w:rsidR="00DB2480">
        <w:t>, Colpin, Pijl, &amp; Petry,</w:t>
      </w:r>
      <w:r w:rsidR="00BA04F8" w:rsidRPr="00872623">
        <w:t xml:space="preserve"> 2012</w:t>
      </w:r>
      <w:r w:rsidR="005D0EC3">
        <w:t xml:space="preserve"> &amp; </w:t>
      </w:r>
      <w:r w:rsidR="00BA04F8" w:rsidRPr="00872623">
        <w:t>Langher</w:t>
      </w:r>
      <w:r w:rsidR="00966719">
        <w:t xml:space="preserve">, Ricci, Reversi, &amp; Citarelli, </w:t>
      </w:r>
      <w:r w:rsidR="00BA04F8" w:rsidRPr="00872623">
        <w:t>2010), loneliness among children with learning disabilities in public elementary and middle schools is shown to be linked to difficulties in peer relationships in class compared to students with no disabilities.</w:t>
      </w:r>
      <w:r w:rsidR="00BA04F8">
        <w:t xml:space="preserve"> </w:t>
      </w:r>
      <w:r w:rsidR="00375BC6" w:rsidRPr="000D424C">
        <w:t xml:space="preserve">Moreover, the social </w:t>
      </w:r>
      <w:r w:rsidR="000718CD" w:rsidRPr="000D424C">
        <w:t>support received outside of</w:t>
      </w:r>
      <w:r w:rsidR="00375BC6" w:rsidRPr="000D424C">
        <w:t xml:space="preserve"> the school, especially from parents, is central in terms of school engagement for students with special needs (Szumski &amp; Karwowski, 2012).</w:t>
      </w:r>
    </w:p>
    <w:p w14:paraId="37F9089C" w14:textId="77777777" w:rsidR="00FB091E" w:rsidRDefault="009D2028" w:rsidP="00997091">
      <w:pPr>
        <w:rPr>
          <w:szCs w:val="24"/>
        </w:rPr>
      </w:pPr>
      <w:r w:rsidRPr="0072669F">
        <w:rPr>
          <w:szCs w:val="24"/>
        </w:rPr>
        <w:t>Finn</w:t>
      </w:r>
      <w:r w:rsidRPr="000D424C">
        <w:rPr>
          <w:szCs w:val="24"/>
        </w:rPr>
        <w:t xml:space="preserve"> and Rock (1997) proposed that positive forms of behavior com</w:t>
      </w:r>
      <w:r w:rsidR="00DA6851" w:rsidRPr="000D424C">
        <w:rPr>
          <w:szCs w:val="24"/>
        </w:rPr>
        <w:t xml:space="preserve">bined </w:t>
      </w:r>
      <w:r w:rsidR="0055716F" w:rsidRPr="000D424C">
        <w:rPr>
          <w:szCs w:val="24"/>
        </w:rPr>
        <w:t xml:space="preserve">with </w:t>
      </w:r>
      <w:r w:rsidR="00647516" w:rsidRPr="000D424C">
        <w:rPr>
          <w:szCs w:val="24"/>
        </w:rPr>
        <w:t xml:space="preserve">high self-confidence </w:t>
      </w:r>
      <w:r w:rsidRPr="000D424C">
        <w:rPr>
          <w:szCs w:val="24"/>
        </w:rPr>
        <w:t>may serve as protective factors that hinder disengagement</w:t>
      </w:r>
      <w:r w:rsidR="0096309C" w:rsidRPr="000D424C">
        <w:rPr>
          <w:szCs w:val="24"/>
        </w:rPr>
        <w:t>.</w:t>
      </w:r>
      <w:r w:rsidR="00757B9E" w:rsidRPr="000D424C">
        <w:rPr>
          <w:szCs w:val="24"/>
        </w:rPr>
        <w:t xml:space="preserve"> </w:t>
      </w:r>
      <w:r w:rsidR="000718CD" w:rsidRPr="000D424C">
        <w:rPr>
          <w:szCs w:val="24"/>
        </w:rPr>
        <w:t>W</w:t>
      </w:r>
      <w:r w:rsidR="00366210" w:rsidRPr="000D424C">
        <w:rPr>
          <w:szCs w:val="24"/>
        </w:rPr>
        <w:t xml:space="preserve">hen students hold a positive self-view and exhibit these behaviors in their positive forms, </w:t>
      </w:r>
      <w:r w:rsidR="00536CE7" w:rsidRPr="000D424C">
        <w:rPr>
          <w:szCs w:val="24"/>
        </w:rPr>
        <w:t>meaning that they</w:t>
      </w:r>
      <w:r w:rsidR="00366210" w:rsidRPr="000D424C">
        <w:rPr>
          <w:szCs w:val="24"/>
        </w:rPr>
        <w:t xml:space="preserve"> attend school regularly, participate in extracurricular activities, </w:t>
      </w:r>
      <w:r w:rsidR="00536CE7" w:rsidRPr="000D424C">
        <w:rPr>
          <w:szCs w:val="24"/>
        </w:rPr>
        <w:t xml:space="preserve">and </w:t>
      </w:r>
      <w:r w:rsidR="00366210" w:rsidRPr="000D424C">
        <w:rPr>
          <w:szCs w:val="24"/>
        </w:rPr>
        <w:t xml:space="preserve">complete required work in </w:t>
      </w:r>
      <w:r w:rsidR="00536CE7" w:rsidRPr="000D424C">
        <w:rPr>
          <w:szCs w:val="24"/>
        </w:rPr>
        <w:t xml:space="preserve">and out of </w:t>
      </w:r>
      <w:r w:rsidR="00366210" w:rsidRPr="000D424C">
        <w:rPr>
          <w:szCs w:val="24"/>
        </w:rPr>
        <w:t>school, these may serve as protective mechanisms that improve students</w:t>
      </w:r>
      <w:r w:rsidR="00536CE7" w:rsidRPr="000D424C">
        <w:rPr>
          <w:szCs w:val="24"/>
        </w:rPr>
        <w:t>’</w:t>
      </w:r>
      <w:r w:rsidR="00366210" w:rsidRPr="000D424C">
        <w:rPr>
          <w:szCs w:val="24"/>
        </w:rPr>
        <w:t xml:space="preserve"> </w:t>
      </w:r>
      <w:r w:rsidR="00366210" w:rsidRPr="000D424C">
        <w:rPr>
          <w:szCs w:val="24"/>
        </w:rPr>
        <w:lastRenderedPageBreak/>
        <w:t>chances of school success in spite of being a member of a risk group.</w:t>
      </w:r>
      <w:r w:rsidR="00AE3F32" w:rsidRPr="000D424C">
        <w:rPr>
          <w:szCs w:val="24"/>
        </w:rPr>
        <w:t xml:space="preserve"> </w:t>
      </w:r>
      <w:r w:rsidR="00010401" w:rsidRPr="000D424C">
        <w:rPr>
          <w:szCs w:val="24"/>
        </w:rPr>
        <w:t>A</w:t>
      </w:r>
      <w:r w:rsidR="00375BC6" w:rsidRPr="000D424C">
        <w:rPr>
          <w:szCs w:val="24"/>
        </w:rPr>
        <w:t>n inclusive environment is not</w:t>
      </w:r>
      <w:r w:rsidR="00010401" w:rsidRPr="000D424C">
        <w:rPr>
          <w:szCs w:val="24"/>
        </w:rPr>
        <w:t>, however</w:t>
      </w:r>
      <w:r w:rsidR="00375BC6" w:rsidRPr="000D424C">
        <w:rPr>
          <w:szCs w:val="24"/>
        </w:rPr>
        <w:t>, in and of itself, a protective factor against the risk of isolation</w:t>
      </w:r>
      <w:r w:rsidR="00010401" w:rsidRPr="000D424C">
        <w:rPr>
          <w:szCs w:val="24"/>
        </w:rPr>
        <w:t xml:space="preserve"> (Farrell et al., 2007; Langher, et al., 2010)</w:t>
      </w:r>
      <w:r w:rsidR="00375BC6" w:rsidRPr="000D424C">
        <w:rPr>
          <w:szCs w:val="24"/>
        </w:rPr>
        <w:t xml:space="preserve">. </w:t>
      </w:r>
      <w:r w:rsidR="004F32E4" w:rsidRPr="000D424C">
        <w:rPr>
          <w:szCs w:val="24"/>
        </w:rPr>
        <w:t>Instead, the</w:t>
      </w:r>
      <w:r w:rsidR="00375BC6" w:rsidRPr="000D424C">
        <w:rPr>
          <w:szCs w:val="24"/>
        </w:rPr>
        <w:t xml:space="preserve"> quality of interaction that foster</w:t>
      </w:r>
      <w:r w:rsidR="00536CE7" w:rsidRPr="000D424C">
        <w:rPr>
          <w:szCs w:val="24"/>
        </w:rPr>
        <w:t>s,</w:t>
      </w:r>
      <w:r w:rsidR="00375BC6" w:rsidRPr="000D424C">
        <w:rPr>
          <w:szCs w:val="24"/>
        </w:rPr>
        <w:t xml:space="preserve"> reciprocally and inclusively</w:t>
      </w:r>
      <w:r w:rsidR="00536CE7" w:rsidRPr="000D424C">
        <w:rPr>
          <w:szCs w:val="24"/>
        </w:rPr>
        <w:t>,</w:t>
      </w:r>
      <w:r w:rsidR="00375BC6" w:rsidRPr="000D424C">
        <w:rPr>
          <w:szCs w:val="24"/>
        </w:rPr>
        <w:t xml:space="preserve"> all student</w:t>
      </w:r>
      <w:r w:rsidR="006C21EE" w:rsidRPr="000D424C">
        <w:rPr>
          <w:szCs w:val="24"/>
        </w:rPr>
        <w:t>s</w:t>
      </w:r>
      <w:r w:rsidR="00375BC6" w:rsidRPr="000D424C">
        <w:rPr>
          <w:szCs w:val="24"/>
        </w:rPr>
        <w:t>’ social skills</w:t>
      </w:r>
      <w:r w:rsidR="00010401" w:rsidRPr="000D424C">
        <w:rPr>
          <w:szCs w:val="24"/>
        </w:rPr>
        <w:t xml:space="preserve">, relying predominately on </w:t>
      </w:r>
      <w:r w:rsidR="00536CE7" w:rsidRPr="000D424C">
        <w:rPr>
          <w:szCs w:val="24"/>
        </w:rPr>
        <w:t xml:space="preserve">the </w:t>
      </w:r>
      <w:r w:rsidR="00010401" w:rsidRPr="000D424C">
        <w:rPr>
          <w:szCs w:val="24"/>
        </w:rPr>
        <w:t>strength of the students and their families</w:t>
      </w:r>
      <w:r w:rsidR="00536CE7" w:rsidRPr="000D424C">
        <w:rPr>
          <w:szCs w:val="24"/>
        </w:rPr>
        <w:t>,</w:t>
      </w:r>
      <w:r w:rsidR="00375BC6" w:rsidRPr="000D424C">
        <w:rPr>
          <w:szCs w:val="24"/>
        </w:rPr>
        <w:t xml:space="preserve"> seems to be an important predictor of school engagement and academic success for students with special needs</w:t>
      </w:r>
      <w:r w:rsidR="00010401" w:rsidRPr="000D424C">
        <w:rPr>
          <w:szCs w:val="24"/>
        </w:rPr>
        <w:t xml:space="preserve"> </w:t>
      </w:r>
      <w:r w:rsidR="00010401" w:rsidRPr="000D424C">
        <w:rPr>
          <w:szCs w:val="24"/>
          <w:lang w:val="en-GB"/>
        </w:rPr>
        <w:t>(Lappalainen, Savolainen, Kuorelahti, &amp; Epstein, 2009)</w:t>
      </w:r>
      <w:r w:rsidR="00375BC6" w:rsidRPr="000D424C">
        <w:rPr>
          <w:szCs w:val="24"/>
        </w:rPr>
        <w:t xml:space="preserve">. </w:t>
      </w:r>
      <w:r w:rsidR="00CC0BAE" w:rsidRPr="00446E4F">
        <w:rPr>
          <w:szCs w:val="24"/>
        </w:rPr>
        <w:t xml:space="preserve">More specifically, </w:t>
      </w:r>
      <w:r w:rsidR="00734DAC" w:rsidRPr="00446E4F">
        <w:rPr>
          <w:szCs w:val="24"/>
        </w:rPr>
        <w:t xml:space="preserve">the sense of belonging </w:t>
      </w:r>
      <w:r w:rsidR="00AE45E3" w:rsidRPr="00446E4F">
        <w:rPr>
          <w:szCs w:val="24"/>
        </w:rPr>
        <w:t xml:space="preserve">that refers to the </w:t>
      </w:r>
      <w:r w:rsidR="00734DAC" w:rsidRPr="00446E4F">
        <w:rPr>
          <w:szCs w:val="24"/>
        </w:rPr>
        <w:t xml:space="preserve">extent to which the student feels personally accepted, respected, and supported both by the teachers and his/her peers </w:t>
      </w:r>
      <w:r w:rsidR="00AE45E3" w:rsidRPr="00446E4F">
        <w:rPr>
          <w:szCs w:val="24"/>
        </w:rPr>
        <w:t xml:space="preserve">seems to be crucial </w:t>
      </w:r>
      <w:r w:rsidR="00B03296" w:rsidRPr="00446E4F">
        <w:rPr>
          <w:szCs w:val="24"/>
        </w:rPr>
        <w:t xml:space="preserve">not only for </w:t>
      </w:r>
      <w:r w:rsidR="00182B71" w:rsidRPr="00446E4F">
        <w:rPr>
          <w:szCs w:val="24"/>
        </w:rPr>
        <w:t>engaging school experience</w:t>
      </w:r>
      <w:r w:rsidR="00B03296" w:rsidRPr="00446E4F">
        <w:rPr>
          <w:szCs w:val="24"/>
        </w:rPr>
        <w:t xml:space="preserve">, but also </w:t>
      </w:r>
      <w:r w:rsidR="00182B71" w:rsidRPr="00446E4F">
        <w:rPr>
          <w:szCs w:val="24"/>
        </w:rPr>
        <w:t xml:space="preserve">in </w:t>
      </w:r>
      <w:r w:rsidR="00AE45E3" w:rsidRPr="00446E4F">
        <w:rPr>
          <w:szCs w:val="24"/>
        </w:rPr>
        <w:t xml:space="preserve">terms </w:t>
      </w:r>
      <w:r w:rsidR="00057378" w:rsidRPr="00446E4F">
        <w:rPr>
          <w:szCs w:val="24"/>
        </w:rPr>
        <w:t xml:space="preserve">of </w:t>
      </w:r>
      <w:r w:rsidR="004E662E" w:rsidRPr="00446E4F">
        <w:rPr>
          <w:szCs w:val="24"/>
        </w:rPr>
        <w:t xml:space="preserve">reasserting </w:t>
      </w:r>
      <w:r w:rsidR="00AE45E3" w:rsidRPr="00446E4F">
        <w:rPr>
          <w:szCs w:val="24"/>
        </w:rPr>
        <w:t xml:space="preserve">the strengths of the </w:t>
      </w:r>
      <w:r w:rsidR="004E662E" w:rsidRPr="00446E4F">
        <w:rPr>
          <w:szCs w:val="24"/>
        </w:rPr>
        <w:t xml:space="preserve">individual </w:t>
      </w:r>
      <w:r w:rsidR="00AE45E3" w:rsidRPr="00446E4F">
        <w:rPr>
          <w:szCs w:val="24"/>
        </w:rPr>
        <w:t>student</w:t>
      </w:r>
      <w:r w:rsidR="00182B71" w:rsidRPr="00446E4F">
        <w:rPr>
          <w:szCs w:val="24"/>
        </w:rPr>
        <w:t>,</w:t>
      </w:r>
      <w:r w:rsidR="004E662E" w:rsidRPr="00446E4F">
        <w:rPr>
          <w:szCs w:val="24"/>
        </w:rPr>
        <w:t xml:space="preserve"> and further, </w:t>
      </w:r>
      <w:r w:rsidR="00057378" w:rsidRPr="00446E4F">
        <w:rPr>
          <w:szCs w:val="24"/>
        </w:rPr>
        <w:t>constructing i</w:t>
      </w:r>
      <w:r w:rsidR="004E662E" w:rsidRPr="00446E4F">
        <w:rPr>
          <w:szCs w:val="24"/>
        </w:rPr>
        <w:t>nclusive practices in the school</w:t>
      </w:r>
      <w:r w:rsidR="00F2354E" w:rsidRPr="00446E4F">
        <w:rPr>
          <w:szCs w:val="24"/>
        </w:rPr>
        <w:t xml:space="preserve"> community</w:t>
      </w:r>
      <w:r w:rsidR="004E662E" w:rsidRPr="00446E4F">
        <w:rPr>
          <w:szCs w:val="24"/>
        </w:rPr>
        <w:t xml:space="preserve"> (Goodenow, </w:t>
      </w:r>
      <w:r w:rsidR="00446E4F">
        <w:rPr>
          <w:szCs w:val="24"/>
        </w:rPr>
        <w:t>1</w:t>
      </w:r>
      <w:r w:rsidR="004E662E" w:rsidRPr="00446E4F">
        <w:rPr>
          <w:szCs w:val="24"/>
        </w:rPr>
        <w:t>993, Ulmanen et al., 2016</w:t>
      </w:r>
      <w:r w:rsidR="00182B71" w:rsidRPr="00446E4F">
        <w:rPr>
          <w:szCs w:val="24"/>
        </w:rPr>
        <w:t>a; 2016b</w:t>
      </w:r>
      <w:r w:rsidR="004E662E" w:rsidRPr="00446E4F">
        <w:rPr>
          <w:szCs w:val="24"/>
        </w:rPr>
        <w:t>; Lappalainen et al., 2009).</w:t>
      </w:r>
      <w:r w:rsidR="004E662E">
        <w:rPr>
          <w:szCs w:val="24"/>
        </w:rPr>
        <w:t xml:space="preserve"> </w:t>
      </w:r>
    </w:p>
    <w:p w14:paraId="67CC2475" w14:textId="77777777" w:rsidR="00FB091E" w:rsidRDefault="006D711A" w:rsidP="00997091">
      <w:pPr>
        <w:rPr>
          <w:szCs w:val="24"/>
        </w:rPr>
      </w:pPr>
      <w:r w:rsidRPr="000D424C">
        <w:rPr>
          <w:szCs w:val="24"/>
        </w:rPr>
        <w:t>This calls for b</w:t>
      </w:r>
      <w:r w:rsidR="009D2028" w:rsidRPr="000D424C">
        <w:rPr>
          <w:szCs w:val="24"/>
        </w:rPr>
        <w:t xml:space="preserve">uilding a </w:t>
      </w:r>
      <w:r w:rsidRPr="000D424C">
        <w:rPr>
          <w:szCs w:val="24"/>
        </w:rPr>
        <w:t xml:space="preserve">more coherent </w:t>
      </w:r>
      <w:r w:rsidR="009D2028" w:rsidRPr="000D424C">
        <w:rPr>
          <w:szCs w:val="24"/>
        </w:rPr>
        <w:t xml:space="preserve">understanding </w:t>
      </w:r>
      <w:r w:rsidR="00536CE7" w:rsidRPr="000D424C">
        <w:rPr>
          <w:szCs w:val="24"/>
        </w:rPr>
        <w:t xml:space="preserve">of </w:t>
      </w:r>
      <w:r w:rsidR="00573304" w:rsidRPr="000D424C">
        <w:rPr>
          <w:szCs w:val="24"/>
        </w:rPr>
        <w:t xml:space="preserve">the </w:t>
      </w:r>
      <w:r w:rsidR="009D2028" w:rsidRPr="000D424C">
        <w:rPr>
          <w:szCs w:val="24"/>
        </w:rPr>
        <w:t>student</w:t>
      </w:r>
      <w:r w:rsidRPr="000D424C">
        <w:rPr>
          <w:szCs w:val="24"/>
        </w:rPr>
        <w:t>s</w:t>
      </w:r>
      <w:r w:rsidR="00573304" w:rsidRPr="000D424C">
        <w:rPr>
          <w:szCs w:val="24"/>
        </w:rPr>
        <w:t>’</w:t>
      </w:r>
      <w:r w:rsidRPr="000D424C">
        <w:rPr>
          <w:szCs w:val="24"/>
        </w:rPr>
        <w:t xml:space="preserve"> </w:t>
      </w:r>
      <w:r w:rsidR="00A041D9" w:rsidRPr="000D424C">
        <w:rPr>
          <w:szCs w:val="24"/>
        </w:rPr>
        <w:t xml:space="preserve">significant </w:t>
      </w:r>
      <w:r w:rsidR="008D5E04" w:rsidRPr="000D424C">
        <w:rPr>
          <w:szCs w:val="24"/>
        </w:rPr>
        <w:t xml:space="preserve">school experiences </w:t>
      </w:r>
      <w:r w:rsidR="00536CE7" w:rsidRPr="000D424C">
        <w:rPr>
          <w:szCs w:val="24"/>
        </w:rPr>
        <w:t xml:space="preserve">in which </w:t>
      </w:r>
      <w:r w:rsidRPr="000D424C">
        <w:rPr>
          <w:szCs w:val="24"/>
        </w:rPr>
        <w:t>school engagement</w:t>
      </w:r>
      <w:r w:rsidR="008D5E04" w:rsidRPr="000D424C">
        <w:rPr>
          <w:szCs w:val="24"/>
        </w:rPr>
        <w:t xml:space="preserve"> is constructed </w:t>
      </w:r>
      <w:r w:rsidR="00536CE7" w:rsidRPr="000D424C">
        <w:rPr>
          <w:szCs w:val="24"/>
        </w:rPr>
        <w:t xml:space="preserve">along </w:t>
      </w:r>
      <w:r w:rsidR="00573304" w:rsidRPr="000D424C">
        <w:rPr>
          <w:szCs w:val="24"/>
        </w:rPr>
        <w:t xml:space="preserve">the educational path. </w:t>
      </w:r>
      <w:r w:rsidR="001D70E3">
        <w:rPr>
          <w:szCs w:val="24"/>
        </w:rPr>
        <w:t xml:space="preserve">Our understanding </w:t>
      </w:r>
      <w:r w:rsidR="001D70E3" w:rsidRPr="0072669F">
        <w:rPr>
          <w:szCs w:val="24"/>
        </w:rPr>
        <w:t xml:space="preserve">on </w:t>
      </w:r>
      <w:r w:rsidR="00F56545" w:rsidRPr="0072669F">
        <w:rPr>
          <w:szCs w:val="24"/>
        </w:rPr>
        <w:t>differences</w:t>
      </w:r>
      <w:r w:rsidR="00DB2480">
        <w:rPr>
          <w:szCs w:val="24"/>
        </w:rPr>
        <w:t xml:space="preserve"> or similarities of the </w:t>
      </w:r>
      <w:r w:rsidR="001D70E3" w:rsidRPr="0072669F">
        <w:rPr>
          <w:szCs w:val="24"/>
        </w:rPr>
        <w:t>school experiences contributing to school engagement among the</w:t>
      </w:r>
      <w:r w:rsidR="00F56545" w:rsidRPr="0072669F">
        <w:rPr>
          <w:szCs w:val="24"/>
        </w:rPr>
        <w:t xml:space="preserve"> general education </w:t>
      </w:r>
      <w:r w:rsidR="005D365C" w:rsidRPr="0072669F">
        <w:rPr>
          <w:szCs w:val="24"/>
        </w:rPr>
        <w:t>students</w:t>
      </w:r>
      <w:r w:rsidR="00BA04F8" w:rsidRPr="0072669F">
        <w:rPr>
          <w:szCs w:val="24"/>
        </w:rPr>
        <w:t xml:space="preserve"> </w:t>
      </w:r>
      <w:r w:rsidR="005D365C" w:rsidRPr="0072669F">
        <w:rPr>
          <w:szCs w:val="24"/>
        </w:rPr>
        <w:t>and students with special needs</w:t>
      </w:r>
      <w:r w:rsidR="001D70E3" w:rsidRPr="0072669F">
        <w:rPr>
          <w:szCs w:val="24"/>
        </w:rPr>
        <w:t xml:space="preserve"> is still scar</w:t>
      </w:r>
      <w:r w:rsidR="00670F5A">
        <w:rPr>
          <w:szCs w:val="24"/>
        </w:rPr>
        <w:t>c</w:t>
      </w:r>
      <w:r w:rsidR="001D70E3" w:rsidRPr="0072669F">
        <w:rPr>
          <w:szCs w:val="24"/>
        </w:rPr>
        <w:t>e</w:t>
      </w:r>
      <w:r w:rsidR="005D365C" w:rsidRPr="0072669F">
        <w:rPr>
          <w:szCs w:val="24"/>
        </w:rPr>
        <w:t xml:space="preserve"> (e.g., Lewis et al.</w:t>
      </w:r>
      <w:r w:rsidR="00992458" w:rsidRPr="0072669F">
        <w:rPr>
          <w:szCs w:val="24"/>
        </w:rPr>
        <w:t>,</w:t>
      </w:r>
      <w:r w:rsidR="005D365C" w:rsidRPr="0072669F">
        <w:rPr>
          <w:szCs w:val="24"/>
        </w:rPr>
        <w:t xml:space="preserve"> 2011). However, s</w:t>
      </w:r>
      <w:r w:rsidR="00F56545" w:rsidRPr="0072669F">
        <w:rPr>
          <w:szCs w:val="24"/>
        </w:rPr>
        <w:t xml:space="preserve">tudies </w:t>
      </w:r>
      <w:r w:rsidR="008062E8" w:rsidRPr="0072669F">
        <w:rPr>
          <w:szCs w:val="24"/>
        </w:rPr>
        <w:t xml:space="preserve">have identified several </w:t>
      </w:r>
      <w:r w:rsidR="005D365C" w:rsidRPr="0072669F">
        <w:rPr>
          <w:szCs w:val="24"/>
        </w:rPr>
        <w:t>factors contributing to</w:t>
      </w:r>
      <w:r w:rsidR="001D70E3" w:rsidRPr="0072669F">
        <w:rPr>
          <w:szCs w:val="24"/>
        </w:rPr>
        <w:t xml:space="preserve"> </w:t>
      </w:r>
      <w:r w:rsidR="005D365C" w:rsidRPr="0072669F">
        <w:rPr>
          <w:szCs w:val="24"/>
        </w:rPr>
        <w:t xml:space="preserve">school engagement, </w:t>
      </w:r>
      <w:r w:rsidR="008062E8" w:rsidRPr="0072669F">
        <w:rPr>
          <w:szCs w:val="24"/>
        </w:rPr>
        <w:t>that are suggested to be particularly</w:t>
      </w:r>
      <w:r w:rsidR="005D365C" w:rsidRPr="0072669F">
        <w:rPr>
          <w:szCs w:val="24"/>
        </w:rPr>
        <w:t xml:space="preserve"> important for students with special needs</w:t>
      </w:r>
      <w:r w:rsidR="000701FA" w:rsidRPr="0072669F">
        <w:rPr>
          <w:szCs w:val="24"/>
        </w:rPr>
        <w:t xml:space="preserve"> (Reschly </w:t>
      </w:r>
      <w:r w:rsidR="00BA04F8" w:rsidRPr="0072669F">
        <w:rPr>
          <w:szCs w:val="24"/>
        </w:rPr>
        <w:t>&amp;</w:t>
      </w:r>
      <w:r w:rsidR="000701FA" w:rsidRPr="0072669F">
        <w:rPr>
          <w:szCs w:val="24"/>
        </w:rPr>
        <w:t xml:space="preserve"> Christenson</w:t>
      </w:r>
      <w:r w:rsidR="00992458" w:rsidRPr="0072669F">
        <w:rPr>
          <w:szCs w:val="24"/>
        </w:rPr>
        <w:t>,</w:t>
      </w:r>
      <w:r w:rsidR="000701FA" w:rsidRPr="0072669F">
        <w:rPr>
          <w:szCs w:val="24"/>
        </w:rPr>
        <w:t xml:space="preserve"> 2006)</w:t>
      </w:r>
      <w:r w:rsidR="005D365C" w:rsidRPr="0072669F">
        <w:rPr>
          <w:szCs w:val="24"/>
        </w:rPr>
        <w:t xml:space="preserve">. For example, </w:t>
      </w:r>
      <w:r w:rsidR="00F56545" w:rsidRPr="0072669F">
        <w:rPr>
          <w:szCs w:val="24"/>
        </w:rPr>
        <w:t>positive school experiences in terms of the sense of equality and being acknowledged (Matzen, Ryndak, &amp; Nakao, 2010; Pitt &amp; Curtin, 2004)</w:t>
      </w:r>
      <w:r w:rsidR="005D365C" w:rsidRPr="0072669F">
        <w:rPr>
          <w:szCs w:val="24"/>
        </w:rPr>
        <w:t xml:space="preserve">, </w:t>
      </w:r>
      <w:r w:rsidR="00F56545" w:rsidRPr="0072669F">
        <w:rPr>
          <w:szCs w:val="24"/>
        </w:rPr>
        <w:t>g</w:t>
      </w:r>
      <w:r w:rsidR="00F56545" w:rsidRPr="0072669F">
        <w:rPr>
          <w:szCs w:val="24"/>
          <w:lang w:val="en-GB"/>
        </w:rPr>
        <w:t>ood quality teacher relationships and a supportive climate in the classroom</w:t>
      </w:r>
      <w:r w:rsidR="00F56545" w:rsidRPr="0072669F">
        <w:rPr>
          <w:szCs w:val="24"/>
        </w:rPr>
        <w:t xml:space="preserve"> </w:t>
      </w:r>
      <w:r w:rsidR="005D365C" w:rsidRPr="0072669F">
        <w:rPr>
          <w:szCs w:val="24"/>
        </w:rPr>
        <w:t>(</w:t>
      </w:r>
      <w:r w:rsidR="00F56545" w:rsidRPr="0072669F">
        <w:rPr>
          <w:szCs w:val="24"/>
          <w:lang w:val="en-GB"/>
        </w:rPr>
        <w:t>Uusitalo-Malmivaara et al., 2009)</w:t>
      </w:r>
      <w:r w:rsidR="005D365C" w:rsidRPr="0072669F">
        <w:rPr>
          <w:szCs w:val="24"/>
          <w:lang w:val="en-GB"/>
        </w:rPr>
        <w:t>, the significance of p</w:t>
      </w:r>
      <w:r w:rsidR="00F56545" w:rsidRPr="0072669F">
        <w:rPr>
          <w:szCs w:val="24"/>
        </w:rPr>
        <w:t xml:space="preserve">eer support and approval </w:t>
      </w:r>
      <w:r w:rsidR="005D365C" w:rsidRPr="0072669F">
        <w:rPr>
          <w:szCs w:val="24"/>
        </w:rPr>
        <w:t>(</w:t>
      </w:r>
      <w:r w:rsidR="00F56545" w:rsidRPr="0072669F">
        <w:rPr>
          <w:szCs w:val="24"/>
        </w:rPr>
        <w:t>Lovitt, Plavins, &amp; Cushing, 1999</w:t>
      </w:r>
      <w:r w:rsidR="005D365C" w:rsidRPr="0072669F">
        <w:rPr>
          <w:szCs w:val="24"/>
        </w:rPr>
        <w:t>),</w:t>
      </w:r>
      <w:r w:rsidR="00F56545" w:rsidRPr="0072669F">
        <w:rPr>
          <w:szCs w:val="24"/>
        </w:rPr>
        <w:t xml:space="preserve"> </w:t>
      </w:r>
      <w:r w:rsidR="005D365C" w:rsidRPr="0072669F">
        <w:rPr>
          <w:szCs w:val="24"/>
        </w:rPr>
        <w:t xml:space="preserve">support from parents (Szumski &amp; Karwowski, 2012), </w:t>
      </w:r>
      <w:r w:rsidR="000701FA" w:rsidRPr="0072669F">
        <w:rPr>
          <w:szCs w:val="24"/>
        </w:rPr>
        <w:t>preventing misbehavio</w:t>
      </w:r>
      <w:r w:rsidR="00F31935">
        <w:rPr>
          <w:szCs w:val="24"/>
        </w:rPr>
        <w:t>u</w:t>
      </w:r>
      <w:r w:rsidR="000701FA" w:rsidRPr="0072669F">
        <w:rPr>
          <w:szCs w:val="24"/>
        </w:rPr>
        <w:t>r</w:t>
      </w:r>
      <w:r w:rsidR="00F31935">
        <w:rPr>
          <w:szCs w:val="24"/>
        </w:rPr>
        <w:t>s</w:t>
      </w:r>
      <w:r w:rsidR="000701FA" w:rsidRPr="0072669F">
        <w:rPr>
          <w:szCs w:val="24"/>
        </w:rPr>
        <w:t xml:space="preserve"> and being prepared for classes (Reschly &amp; Christenson, 2006), </w:t>
      </w:r>
      <w:r w:rsidR="00BA04F8" w:rsidRPr="0072669F">
        <w:rPr>
          <w:szCs w:val="24"/>
        </w:rPr>
        <w:t xml:space="preserve">preventing </w:t>
      </w:r>
      <w:r w:rsidR="00F56545" w:rsidRPr="0072669F">
        <w:rPr>
          <w:szCs w:val="24"/>
        </w:rPr>
        <w:t>loneliness</w:t>
      </w:r>
      <w:r w:rsidR="000701FA" w:rsidRPr="0072669F">
        <w:rPr>
          <w:szCs w:val="24"/>
        </w:rPr>
        <w:t xml:space="preserve"> </w:t>
      </w:r>
      <w:r w:rsidR="00BA04F8" w:rsidRPr="0072669F">
        <w:rPr>
          <w:szCs w:val="24"/>
        </w:rPr>
        <w:t xml:space="preserve">associated </w:t>
      </w:r>
      <w:r w:rsidR="00F56545" w:rsidRPr="0072669F">
        <w:rPr>
          <w:szCs w:val="24"/>
        </w:rPr>
        <w:t>with difficulties in peer relationships (Bossaert</w:t>
      </w:r>
      <w:r w:rsidR="005D365C" w:rsidRPr="0072669F">
        <w:rPr>
          <w:szCs w:val="24"/>
        </w:rPr>
        <w:t xml:space="preserve"> et al.,</w:t>
      </w:r>
      <w:r w:rsidR="00992458" w:rsidRPr="0072669F">
        <w:rPr>
          <w:szCs w:val="24"/>
        </w:rPr>
        <w:t xml:space="preserve"> </w:t>
      </w:r>
      <w:r w:rsidR="005D365C" w:rsidRPr="0072669F">
        <w:rPr>
          <w:szCs w:val="24"/>
        </w:rPr>
        <w:t xml:space="preserve">2012, &amp; </w:t>
      </w:r>
      <w:r w:rsidR="00F56545" w:rsidRPr="0072669F">
        <w:rPr>
          <w:szCs w:val="24"/>
        </w:rPr>
        <w:t xml:space="preserve">Langher, </w:t>
      </w:r>
      <w:r w:rsidR="005D365C" w:rsidRPr="0072669F">
        <w:rPr>
          <w:szCs w:val="24"/>
        </w:rPr>
        <w:t xml:space="preserve">et al., </w:t>
      </w:r>
      <w:r w:rsidR="00F56545" w:rsidRPr="0072669F">
        <w:rPr>
          <w:szCs w:val="24"/>
        </w:rPr>
        <w:t>2010)</w:t>
      </w:r>
      <w:r w:rsidR="001D70E3" w:rsidRPr="0072669F">
        <w:rPr>
          <w:szCs w:val="24"/>
        </w:rPr>
        <w:t>, have</w:t>
      </w:r>
      <w:r w:rsidR="00670F5A">
        <w:rPr>
          <w:szCs w:val="24"/>
        </w:rPr>
        <w:t xml:space="preserve"> been</w:t>
      </w:r>
      <w:r w:rsidR="001D70E3" w:rsidRPr="0072669F">
        <w:rPr>
          <w:szCs w:val="24"/>
        </w:rPr>
        <w:t xml:space="preserve"> suggested </w:t>
      </w:r>
      <w:r w:rsidR="00670F5A">
        <w:rPr>
          <w:szCs w:val="24"/>
        </w:rPr>
        <w:t>as</w:t>
      </w:r>
      <w:r w:rsidR="00670F5A" w:rsidRPr="0072669F">
        <w:rPr>
          <w:szCs w:val="24"/>
        </w:rPr>
        <w:t xml:space="preserve"> </w:t>
      </w:r>
      <w:r w:rsidR="001D70E3" w:rsidRPr="0072669F">
        <w:rPr>
          <w:szCs w:val="24"/>
        </w:rPr>
        <w:t>enhanc</w:t>
      </w:r>
      <w:r w:rsidR="00670F5A">
        <w:rPr>
          <w:szCs w:val="24"/>
        </w:rPr>
        <w:t>ing</w:t>
      </w:r>
      <w:r w:rsidR="001D70E3" w:rsidRPr="0072669F">
        <w:rPr>
          <w:szCs w:val="24"/>
        </w:rPr>
        <w:t xml:space="preserve"> engaging school experience</w:t>
      </w:r>
      <w:r w:rsidR="00F56545" w:rsidRPr="0072669F">
        <w:rPr>
          <w:szCs w:val="24"/>
        </w:rPr>
        <w:t>.</w:t>
      </w:r>
      <w:r w:rsidR="00446E4F">
        <w:rPr>
          <w:szCs w:val="24"/>
        </w:rPr>
        <w:t xml:space="preserve"> </w:t>
      </w:r>
      <w:r w:rsidR="00446E4F" w:rsidRPr="00446E4F">
        <w:rPr>
          <w:szCs w:val="24"/>
        </w:rPr>
        <w:t>Accordingly,</w:t>
      </w:r>
      <w:r w:rsidR="00446E4F">
        <w:rPr>
          <w:szCs w:val="24"/>
        </w:rPr>
        <w:t xml:space="preserve"> c</w:t>
      </w:r>
      <w:r w:rsidR="00446E4F" w:rsidRPr="000D424C">
        <w:rPr>
          <w:szCs w:val="24"/>
        </w:rPr>
        <w:t xml:space="preserve">ognitive and emotional engagement </w:t>
      </w:r>
      <w:r w:rsidR="00670F5A">
        <w:rPr>
          <w:szCs w:val="24"/>
        </w:rPr>
        <w:t>are</w:t>
      </w:r>
      <w:r w:rsidR="00446E4F" w:rsidRPr="000D424C">
        <w:rPr>
          <w:szCs w:val="24"/>
        </w:rPr>
        <w:t xml:space="preserve"> socially constructed premises for meaningful learning and school related well-being (Milsom &amp; Glanville, 2006; Pietarinen</w:t>
      </w:r>
      <w:r w:rsidR="00446E4F">
        <w:rPr>
          <w:szCs w:val="24"/>
        </w:rPr>
        <w:t xml:space="preserve"> et al., </w:t>
      </w:r>
      <w:r w:rsidR="00446E4F" w:rsidRPr="000D424C">
        <w:rPr>
          <w:szCs w:val="24"/>
        </w:rPr>
        <w:t>2014).</w:t>
      </w:r>
    </w:p>
    <w:p w14:paraId="1D9F89E7" w14:textId="77777777" w:rsidR="00FB091E" w:rsidRDefault="00FB091E" w:rsidP="00997091"/>
    <w:p w14:paraId="0C7A1DE4" w14:textId="77777777" w:rsidR="00FB091E" w:rsidRDefault="00854809" w:rsidP="00997091">
      <w:pPr>
        <w:tabs>
          <w:tab w:val="left" w:pos="4253"/>
        </w:tabs>
        <w:ind w:firstLine="0"/>
        <w:jc w:val="center"/>
        <w:rPr>
          <w:b/>
        </w:rPr>
      </w:pPr>
      <w:r w:rsidRPr="000229B9">
        <w:rPr>
          <w:b/>
        </w:rPr>
        <w:t>A</w:t>
      </w:r>
      <w:r w:rsidR="00997091">
        <w:rPr>
          <w:b/>
        </w:rPr>
        <w:t>im of the S</w:t>
      </w:r>
      <w:r w:rsidR="009D2028" w:rsidRPr="000229B9">
        <w:rPr>
          <w:b/>
        </w:rPr>
        <w:t>tudy</w:t>
      </w:r>
    </w:p>
    <w:p w14:paraId="43D9656E" w14:textId="77777777" w:rsidR="00997091" w:rsidRDefault="00997091" w:rsidP="00997091">
      <w:pPr>
        <w:tabs>
          <w:tab w:val="left" w:pos="4253"/>
        </w:tabs>
        <w:ind w:firstLine="0"/>
        <w:jc w:val="center"/>
        <w:rPr>
          <w:b/>
          <w:szCs w:val="24"/>
        </w:rPr>
      </w:pPr>
    </w:p>
    <w:p w14:paraId="0615103F" w14:textId="77777777" w:rsidR="00FB091E" w:rsidRDefault="009D2028" w:rsidP="00997091">
      <w:r w:rsidRPr="0072669F">
        <w:t>The aim</w:t>
      </w:r>
      <w:r w:rsidRPr="000D424C">
        <w:t xml:space="preserve"> of this study is to understand school engagement by exploring the</w:t>
      </w:r>
      <w:r w:rsidR="00850B88" w:rsidRPr="000D424C">
        <w:t xml:space="preserve"> positive and </w:t>
      </w:r>
      <w:r w:rsidRPr="000D424C">
        <w:t xml:space="preserve">negative school experiences of seventh graders. </w:t>
      </w:r>
      <w:r w:rsidR="00246D31" w:rsidRPr="000D424C">
        <w:t>We</w:t>
      </w:r>
      <w:r w:rsidRPr="000D424C">
        <w:t xml:space="preserve"> presume that better understanding </w:t>
      </w:r>
      <w:r w:rsidR="00246D31" w:rsidRPr="000D424C">
        <w:t>of</w:t>
      </w:r>
      <w:r w:rsidRPr="000D424C">
        <w:t xml:space="preserve"> school engagement can be attained by analyzing students’ negative and positive school experiences, </w:t>
      </w:r>
      <w:r w:rsidR="00E50728">
        <w:t>i.e.</w:t>
      </w:r>
      <w:r w:rsidR="00AE7B93">
        <w:t>,</w:t>
      </w:r>
      <w:r w:rsidR="00446E4F">
        <w:t xml:space="preserve"> </w:t>
      </w:r>
      <w:r w:rsidRPr="000D424C">
        <w:t xml:space="preserve">critical incidents that either promote or reduce </w:t>
      </w:r>
      <w:r w:rsidR="00ED44DB" w:rsidRPr="000D424C">
        <w:t xml:space="preserve">emotional and cognitive </w:t>
      </w:r>
      <w:r w:rsidRPr="000D424C">
        <w:t>engagement in</w:t>
      </w:r>
      <w:r w:rsidRPr="003F0FA3">
        <w:t xml:space="preserve"> activities provided by </w:t>
      </w:r>
      <w:r>
        <w:t xml:space="preserve">the </w:t>
      </w:r>
      <w:r w:rsidRPr="003F0FA3">
        <w:t>school</w:t>
      </w:r>
      <w:r>
        <w:t xml:space="preserve">. Moreover, </w:t>
      </w:r>
      <w:r w:rsidRPr="000D424C">
        <w:t xml:space="preserve">the experiences of students </w:t>
      </w:r>
      <w:r w:rsidR="0092182A" w:rsidRPr="000D424C">
        <w:t xml:space="preserve">with </w:t>
      </w:r>
      <w:r w:rsidRPr="000D424C">
        <w:t xml:space="preserve">special </w:t>
      </w:r>
      <w:r w:rsidR="0092182A" w:rsidRPr="000D424C">
        <w:t xml:space="preserve">needs </w:t>
      </w:r>
      <w:r w:rsidR="00246D31" w:rsidRPr="000D424C">
        <w:t xml:space="preserve">are compared with those of </w:t>
      </w:r>
      <w:r w:rsidR="0092182A" w:rsidRPr="000D424C">
        <w:t xml:space="preserve">general </w:t>
      </w:r>
      <w:r w:rsidRPr="000D424C">
        <w:t>education</w:t>
      </w:r>
      <w:r w:rsidR="0092182A" w:rsidRPr="000D424C">
        <w:t xml:space="preserve"> students</w:t>
      </w:r>
      <w:r w:rsidRPr="000D424C">
        <w:t>. The following research questions are addressed:</w:t>
      </w:r>
    </w:p>
    <w:p w14:paraId="711CE7D9" w14:textId="77777777" w:rsidR="00997091" w:rsidRDefault="00997091" w:rsidP="00997091"/>
    <w:p w14:paraId="7CF75B0D" w14:textId="77777777" w:rsidR="00FB091E" w:rsidRDefault="00234229" w:rsidP="00997091">
      <w:pPr>
        <w:pStyle w:val="ListParagraph"/>
        <w:numPr>
          <w:ilvl w:val="0"/>
          <w:numId w:val="3"/>
        </w:numPr>
        <w:rPr>
          <w:rFonts w:ascii="Times New Roman" w:hAnsi="Times New Roman"/>
          <w:szCs w:val="24"/>
        </w:rPr>
      </w:pPr>
      <w:r w:rsidRPr="000D424C">
        <w:rPr>
          <w:rFonts w:ascii="Times New Roman" w:hAnsi="Times New Roman"/>
          <w:szCs w:val="24"/>
        </w:rPr>
        <w:t>What kinds of emotionally and cognitively engaging and disengaging</w:t>
      </w:r>
      <w:r w:rsidR="00CB3EB9">
        <w:rPr>
          <w:rFonts w:ascii="Times New Roman" w:hAnsi="Times New Roman"/>
          <w:szCs w:val="24"/>
        </w:rPr>
        <w:t xml:space="preserve"> critical school experiences</w:t>
      </w:r>
      <w:r w:rsidRPr="000D424C">
        <w:rPr>
          <w:rFonts w:ascii="Times New Roman" w:hAnsi="Times New Roman"/>
          <w:szCs w:val="24"/>
        </w:rPr>
        <w:t xml:space="preserve"> do students report?</w:t>
      </w:r>
    </w:p>
    <w:p w14:paraId="386CFF3A" w14:textId="77777777" w:rsidR="00FB091E" w:rsidRDefault="00533078" w:rsidP="00997091">
      <w:pPr>
        <w:pStyle w:val="ListParagraph"/>
        <w:numPr>
          <w:ilvl w:val="0"/>
          <w:numId w:val="3"/>
        </w:numPr>
        <w:rPr>
          <w:rFonts w:ascii="Times New Roman" w:hAnsi="Times New Roman"/>
          <w:szCs w:val="24"/>
        </w:rPr>
      </w:pPr>
      <w:r w:rsidRPr="000D424C">
        <w:rPr>
          <w:rFonts w:ascii="Times New Roman" w:hAnsi="Times New Roman"/>
          <w:szCs w:val="24"/>
        </w:rPr>
        <w:t>When do the</w:t>
      </w:r>
      <w:r w:rsidR="00E50728">
        <w:rPr>
          <w:rFonts w:ascii="Times New Roman" w:hAnsi="Times New Roman"/>
          <w:szCs w:val="24"/>
        </w:rPr>
        <w:t>se school</w:t>
      </w:r>
      <w:r w:rsidRPr="000D424C">
        <w:rPr>
          <w:rFonts w:ascii="Times New Roman" w:hAnsi="Times New Roman"/>
          <w:szCs w:val="24"/>
        </w:rPr>
        <w:t xml:space="preserve"> experiences</w:t>
      </w:r>
      <w:r w:rsidR="004246AA" w:rsidRPr="000D424C">
        <w:rPr>
          <w:rFonts w:ascii="Times New Roman" w:hAnsi="Times New Roman"/>
          <w:szCs w:val="24"/>
        </w:rPr>
        <w:t>,</w:t>
      </w:r>
      <w:r w:rsidRPr="000D424C">
        <w:rPr>
          <w:rFonts w:ascii="Times New Roman" w:hAnsi="Times New Roman"/>
          <w:szCs w:val="24"/>
        </w:rPr>
        <w:t xml:space="preserve"> occur in their school career?</w:t>
      </w:r>
    </w:p>
    <w:p w14:paraId="48883780" w14:textId="77777777" w:rsidR="00FB091E" w:rsidRDefault="00187005" w:rsidP="00997091">
      <w:pPr>
        <w:pStyle w:val="ListParagraph"/>
        <w:numPr>
          <w:ilvl w:val="0"/>
          <w:numId w:val="3"/>
        </w:numPr>
        <w:rPr>
          <w:rFonts w:ascii="Times New Roman" w:hAnsi="Times New Roman"/>
          <w:szCs w:val="24"/>
        </w:rPr>
      </w:pPr>
      <w:r w:rsidRPr="000D424C">
        <w:rPr>
          <w:rFonts w:ascii="Times New Roman" w:hAnsi="Times New Roman"/>
          <w:kern w:val="28"/>
          <w:szCs w:val="24"/>
        </w:rPr>
        <w:t>Are there differen</w:t>
      </w:r>
      <w:r w:rsidR="009D2028" w:rsidRPr="000D424C">
        <w:rPr>
          <w:rFonts w:ascii="Times New Roman" w:hAnsi="Times New Roman"/>
          <w:kern w:val="28"/>
          <w:szCs w:val="24"/>
        </w:rPr>
        <w:t xml:space="preserve">ces </w:t>
      </w:r>
      <w:r w:rsidR="008A37E5" w:rsidRPr="000D424C">
        <w:rPr>
          <w:rFonts w:ascii="Times New Roman" w:hAnsi="Times New Roman"/>
          <w:kern w:val="28"/>
          <w:szCs w:val="24"/>
        </w:rPr>
        <w:t>between the e</w:t>
      </w:r>
      <w:r w:rsidR="00E50728">
        <w:rPr>
          <w:rFonts w:ascii="Times New Roman" w:hAnsi="Times New Roman"/>
          <w:kern w:val="28"/>
          <w:szCs w:val="24"/>
        </w:rPr>
        <w:t>xperiences</w:t>
      </w:r>
      <w:r w:rsidR="008A37E5" w:rsidRPr="000D424C">
        <w:rPr>
          <w:rFonts w:ascii="Times New Roman" w:hAnsi="Times New Roman"/>
          <w:kern w:val="28"/>
          <w:szCs w:val="24"/>
        </w:rPr>
        <w:t xml:space="preserve"> reported by </w:t>
      </w:r>
      <w:r w:rsidR="009D2028" w:rsidRPr="000D424C">
        <w:rPr>
          <w:rFonts w:ascii="Times New Roman" w:hAnsi="Times New Roman"/>
          <w:kern w:val="28"/>
          <w:szCs w:val="24"/>
        </w:rPr>
        <w:t>students with special needs and</w:t>
      </w:r>
      <w:r w:rsidR="008A37E5" w:rsidRPr="000D424C">
        <w:rPr>
          <w:rFonts w:ascii="Times New Roman" w:hAnsi="Times New Roman"/>
          <w:kern w:val="28"/>
          <w:szCs w:val="24"/>
        </w:rPr>
        <w:t xml:space="preserve"> those reported by </w:t>
      </w:r>
      <w:r w:rsidRPr="000D424C">
        <w:rPr>
          <w:rFonts w:ascii="Times New Roman" w:hAnsi="Times New Roman"/>
          <w:kern w:val="28"/>
          <w:szCs w:val="24"/>
        </w:rPr>
        <w:t>students attending g</w:t>
      </w:r>
      <w:r w:rsidR="00D357FC" w:rsidRPr="000D424C">
        <w:rPr>
          <w:rFonts w:ascii="Times New Roman" w:hAnsi="Times New Roman"/>
          <w:kern w:val="28"/>
          <w:szCs w:val="24"/>
        </w:rPr>
        <w:t>eneral education</w:t>
      </w:r>
      <w:r w:rsidR="001D1077" w:rsidRPr="000D424C">
        <w:rPr>
          <w:rFonts w:ascii="Times New Roman" w:hAnsi="Times New Roman"/>
          <w:kern w:val="28"/>
          <w:szCs w:val="24"/>
        </w:rPr>
        <w:t>?</w:t>
      </w:r>
    </w:p>
    <w:p w14:paraId="2CC604C4" w14:textId="77777777" w:rsidR="00FB091E" w:rsidRDefault="00FB091E" w:rsidP="00997091">
      <w:pPr>
        <w:widowControl w:val="0"/>
        <w:overflowPunct w:val="0"/>
        <w:autoSpaceDE w:val="0"/>
        <w:autoSpaceDN w:val="0"/>
        <w:adjustRightInd w:val="0"/>
        <w:ind w:firstLine="720"/>
        <w:rPr>
          <w:kern w:val="28"/>
          <w:szCs w:val="24"/>
        </w:rPr>
      </w:pPr>
    </w:p>
    <w:p w14:paraId="43B18FD2" w14:textId="77777777" w:rsidR="00FB091E" w:rsidRDefault="009D2028" w:rsidP="00997091">
      <w:r w:rsidRPr="000D424C">
        <w:t>The present study is part of a larger national research project on learning agency and pedagogical well-being in comprehensive school</w:t>
      </w:r>
      <w:r w:rsidR="00670F5A">
        <w:t>s</w:t>
      </w:r>
      <w:r w:rsidRPr="000D424C">
        <w:t xml:space="preserve"> 2009–2014 </w:t>
      </w:r>
      <w:r w:rsidRPr="0072669F">
        <w:t>(</w:t>
      </w:r>
      <w:r w:rsidR="000D424C" w:rsidRPr="0072669F">
        <w:t>Pyhältö</w:t>
      </w:r>
      <w:r w:rsidR="00D86837" w:rsidRPr="0072669F">
        <w:t xml:space="preserve"> et al., </w:t>
      </w:r>
      <w:r w:rsidRPr="0072669F">
        <w:t>2010)</w:t>
      </w:r>
      <w:r w:rsidR="00FC16B0" w:rsidRPr="0072669F">
        <w:t>,</w:t>
      </w:r>
      <w:r w:rsidR="00FC16B0" w:rsidRPr="000D424C">
        <w:t xml:space="preserve"> which focuses on undivided basic education </w:t>
      </w:r>
      <w:r w:rsidR="00064BE7" w:rsidRPr="000D424C">
        <w:t xml:space="preserve">reform </w:t>
      </w:r>
      <w:r w:rsidR="00FC16B0" w:rsidRPr="000D424C">
        <w:t>in Finland</w:t>
      </w:r>
      <w:r w:rsidRPr="000D424C">
        <w:t xml:space="preserve">. </w:t>
      </w:r>
      <w:r w:rsidR="00FC16B0" w:rsidRPr="000D424C">
        <w:t>The project aims to identify preconditions for successful school reform</w:t>
      </w:r>
      <w:r w:rsidR="00064BE7" w:rsidRPr="000D424C">
        <w:t xml:space="preserve"> from the point of </w:t>
      </w:r>
      <w:r w:rsidR="004246AA" w:rsidRPr="000D424C">
        <w:t xml:space="preserve">view of </w:t>
      </w:r>
      <w:r w:rsidR="00064BE7" w:rsidRPr="000D424C">
        <w:t>different actors in the school</w:t>
      </w:r>
      <w:r w:rsidR="00FC16B0" w:rsidRPr="000D424C">
        <w:t>.</w:t>
      </w:r>
    </w:p>
    <w:p w14:paraId="0DE7431C" w14:textId="77777777" w:rsidR="00FB091E" w:rsidRDefault="00FB091E" w:rsidP="00997091"/>
    <w:p w14:paraId="7C063826" w14:textId="77777777" w:rsidR="00FB091E" w:rsidRDefault="00D85A3F" w:rsidP="00997091">
      <w:pPr>
        <w:widowControl w:val="0"/>
        <w:tabs>
          <w:tab w:val="left" w:pos="4253"/>
        </w:tabs>
        <w:overflowPunct w:val="0"/>
        <w:autoSpaceDE w:val="0"/>
        <w:autoSpaceDN w:val="0"/>
        <w:adjustRightInd w:val="0"/>
        <w:ind w:firstLine="0"/>
        <w:jc w:val="center"/>
        <w:rPr>
          <w:b/>
          <w:bCs/>
          <w:kern w:val="28"/>
        </w:rPr>
      </w:pPr>
      <w:r w:rsidRPr="000229B9">
        <w:rPr>
          <w:b/>
          <w:bCs/>
          <w:kern w:val="28"/>
        </w:rPr>
        <w:t>Method</w:t>
      </w:r>
    </w:p>
    <w:p w14:paraId="15A505BD" w14:textId="77777777" w:rsidR="00997091" w:rsidRDefault="00997091" w:rsidP="00997091">
      <w:pPr>
        <w:widowControl w:val="0"/>
        <w:tabs>
          <w:tab w:val="left" w:pos="4253"/>
        </w:tabs>
        <w:overflowPunct w:val="0"/>
        <w:autoSpaceDE w:val="0"/>
        <w:autoSpaceDN w:val="0"/>
        <w:adjustRightInd w:val="0"/>
        <w:ind w:firstLine="0"/>
        <w:jc w:val="center"/>
        <w:rPr>
          <w:bCs/>
          <w:kern w:val="28"/>
          <w:szCs w:val="24"/>
        </w:rPr>
      </w:pPr>
    </w:p>
    <w:p w14:paraId="76D9E7EB" w14:textId="77777777" w:rsidR="00FB091E" w:rsidRDefault="00D85A3F" w:rsidP="00997091">
      <w:pPr>
        <w:widowControl w:val="0"/>
        <w:overflowPunct w:val="0"/>
        <w:autoSpaceDE w:val="0"/>
        <w:autoSpaceDN w:val="0"/>
        <w:adjustRightInd w:val="0"/>
        <w:ind w:firstLine="0"/>
        <w:rPr>
          <w:b/>
          <w:bCs/>
          <w:kern w:val="28"/>
        </w:rPr>
      </w:pPr>
      <w:r w:rsidRPr="000229B9">
        <w:rPr>
          <w:b/>
          <w:bCs/>
          <w:kern w:val="28"/>
        </w:rPr>
        <w:t xml:space="preserve">Finnish </w:t>
      </w:r>
      <w:r w:rsidR="003045F4" w:rsidRPr="000229B9">
        <w:rPr>
          <w:b/>
          <w:bCs/>
          <w:kern w:val="28"/>
        </w:rPr>
        <w:t>C</w:t>
      </w:r>
      <w:r w:rsidRPr="000229B9">
        <w:rPr>
          <w:b/>
          <w:bCs/>
          <w:kern w:val="28"/>
        </w:rPr>
        <w:t xml:space="preserve">omprehensive </w:t>
      </w:r>
      <w:r w:rsidR="003045F4" w:rsidRPr="000229B9">
        <w:rPr>
          <w:b/>
          <w:bCs/>
          <w:kern w:val="28"/>
        </w:rPr>
        <w:t>S</w:t>
      </w:r>
      <w:r w:rsidRPr="000229B9">
        <w:rPr>
          <w:b/>
          <w:bCs/>
          <w:kern w:val="28"/>
        </w:rPr>
        <w:t xml:space="preserve">chool </w:t>
      </w:r>
    </w:p>
    <w:p w14:paraId="20A30E6C" w14:textId="77777777" w:rsidR="00997091" w:rsidRDefault="00997091" w:rsidP="00997091">
      <w:pPr>
        <w:widowControl w:val="0"/>
        <w:overflowPunct w:val="0"/>
        <w:autoSpaceDE w:val="0"/>
        <w:autoSpaceDN w:val="0"/>
        <w:adjustRightInd w:val="0"/>
        <w:ind w:firstLine="0"/>
        <w:rPr>
          <w:b/>
          <w:bCs/>
          <w:kern w:val="28"/>
        </w:rPr>
      </w:pPr>
    </w:p>
    <w:p w14:paraId="2A6CF604" w14:textId="77777777" w:rsidR="00FB091E" w:rsidRDefault="00D85A3F" w:rsidP="00997091">
      <w:r w:rsidRPr="000D424C">
        <w:t>The school career of Finnish children typically starts with pre-primary school (not compulsory) at the age of six. At the age of seven, the children start compulsory comprehensive school, which includes the primary (grades 1–6) and secondary (grades 7–9) school phases. Finnish school</w:t>
      </w:r>
      <w:r w:rsidR="00670F5A">
        <w:t>s</w:t>
      </w:r>
      <w:r w:rsidRPr="000D424C">
        <w:t xml:space="preserve"> </w:t>
      </w:r>
      <w:r w:rsidR="00670F5A">
        <w:t>are</w:t>
      </w:r>
      <w:r w:rsidRPr="000D424C">
        <w:t xml:space="preserve"> publicly funded, including free lunch and dental and health care</w:t>
      </w:r>
      <w:r w:rsidR="00AF0F7A" w:rsidRPr="000D424C">
        <w:t>. T</w:t>
      </w:r>
      <w:r w:rsidRPr="000D424C">
        <w:t>here is no private school system. Moreover, no ability-tracking structures or other structures separate comprehensive school students early on into either academic or vocational education. The Finnish school system is decentralized, meaning that it has flexible accountability structures that place a strong emphasis on allowing schools to regulate themselves (Aho, Pitkänen, &amp; Sahlberg, 2006). The main objective of</w:t>
      </w:r>
      <w:r w:rsidRPr="00877A70">
        <w:t xml:space="preserve"> Finnish education policy is to offer all citizens an equal opportunity to receive an education, regardless of age, domicile, financial situation, sex, or mother tongue. The right to free basic education is guaranteed for all pupils. Public authorities are obligated to provide for the educational needs of both the Finnish-</w:t>
      </w:r>
      <w:r w:rsidR="007E519D">
        <w:t xml:space="preserve"> </w:t>
      </w:r>
      <w:r w:rsidRPr="00877A70">
        <w:t xml:space="preserve">and Swedish-speaking populations. </w:t>
      </w:r>
      <w:r w:rsidR="00670F5A">
        <w:t>The F</w:t>
      </w:r>
      <w:r w:rsidRPr="00877A70">
        <w:t xml:space="preserve">innish comprehensive school offers a nine-year comprehensive curriculum for the whole age group </w:t>
      </w:r>
      <w:r w:rsidRPr="006D367C">
        <w:t>(</w:t>
      </w:r>
      <w:r w:rsidR="00141434" w:rsidRPr="006D367C">
        <w:t>The Finnish National Board of Education</w:t>
      </w:r>
      <w:r w:rsidR="00AF0EC7">
        <w:t>, 2016</w:t>
      </w:r>
      <w:r w:rsidR="00670F5A">
        <w:t>,</w:t>
      </w:r>
      <w:r w:rsidRPr="006D367C">
        <w:t xml:space="preserve">). </w:t>
      </w:r>
      <w:r w:rsidR="003924D5" w:rsidRPr="006D367C">
        <w:t>In Finland, Swedish language speakers in Finland, have a special and strong status</w:t>
      </w:r>
      <w:r w:rsidR="00670F5A">
        <w:t>,</w:t>
      </w:r>
      <w:r w:rsidR="00345C51" w:rsidRPr="006D367C">
        <w:t xml:space="preserve"> i.e.</w:t>
      </w:r>
      <w:r w:rsidR="003924D5" w:rsidRPr="006D367C">
        <w:t xml:space="preserve"> Finland-Swedish students have the same rights as the majority Finnish students to study in their mother tongue</w:t>
      </w:r>
      <w:r w:rsidR="00106515">
        <w:t xml:space="preserve"> (</w:t>
      </w:r>
      <w:r w:rsidR="00260CED" w:rsidRPr="006D367C">
        <w:t>Vincze &amp; Harwood, 2015)</w:t>
      </w:r>
      <w:r w:rsidR="00106515">
        <w:t>.</w:t>
      </w:r>
    </w:p>
    <w:p w14:paraId="3126B472" w14:textId="77777777" w:rsidR="00FB091E" w:rsidRDefault="00D85A3F" w:rsidP="00997091">
      <w:pPr>
        <w:ind w:firstLine="720"/>
      </w:pPr>
      <w:r w:rsidRPr="00877A70">
        <w:t xml:space="preserve">General educational support for all students includes guidance and counseling, social welfare services, cooperation between home and school, the use of </w:t>
      </w:r>
      <w:r w:rsidR="00670F5A">
        <w:t>a</w:t>
      </w:r>
      <w:r w:rsidRPr="00877A70">
        <w:t xml:space="preserve"> learning plan, and remedial teaching. Each student of compulsory school age has the right to receive remedial instruction and special needs education, where necessary.</w:t>
      </w:r>
      <w:r w:rsidR="00A818E2">
        <w:t xml:space="preserve"> </w:t>
      </w:r>
      <w:r w:rsidR="00A818E2" w:rsidRPr="006D367C">
        <w:t>I</w:t>
      </w:r>
      <w:r w:rsidRPr="006D367C">
        <w:t>f learning difficulties are minor, special</w:t>
      </w:r>
      <w:r w:rsidRPr="00877A70">
        <w:t xml:space="preserve"> needs education is provided as part-time special needs education (remedial teaching) in conjunction with mainstream instruction. In other cases, </w:t>
      </w:r>
      <w:r w:rsidRPr="000D424C">
        <w:t>when</w:t>
      </w:r>
      <w:r w:rsidR="008A37E5" w:rsidRPr="000D424C">
        <w:t xml:space="preserve"> student</w:t>
      </w:r>
      <w:r w:rsidR="00670F5A">
        <w:t>s</w:t>
      </w:r>
      <w:r w:rsidRPr="000D424C">
        <w:t xml:space="preserve"> cannot cope in mainstream education, </w:t>
      </w:r>
      <w:r w:rsidR="008A37E5" w:rsidRPr="000D424C">
        <w:t>they may</w:t>
      </w:r>
      <w:r w:rsidRPr="000D424C">
        <w:t xml:space="preserve"> be transferred to a special education program, where special needs education is provided in a special group, class, or </w:t>
      </w:r>
      <w:r w:rsidR="00533D33" w:rsidRPr="000D424C">
        <w:t>school</w:t>
      </w:r>
      <w:r w:rsidR="00533D33" w:rsidRPr="006D367C">
        <w:t>.</w:t>
      </w:r>
      <w:r w:rsidRPr="006D367C">
        <w:t xml:space="preserve"> </w:t>
      </w:r>
      <w:r w:rsidR="00533D33" w:rsidRPr="006D367C">
        <w:t>In Finland, the ideology is to provide special needs education primarily in mainstream education. According to the legislation amendment in 2011, all students of compulsory school age have the right to general support, that is, high-quality education, guidance and suppor</w:t>
      </w:r>
      <w:r w:rsidR="00275767" w:rsidRPr="006D367C">
        <w:t>t</w:t>
      </w:r>
      <w:r w:rsidR="00533D33" w:rsidRPr="006D367C">
        <w:t xml:space="preserve">. Intensified support must be given to those students who need regular support or several forms of support at the same time. If students cannot cope with mainstream education in spite of general or intensified form of support, they must be given special support. Special support is often given in special classes. The purpose in this form of education </w:t>
      </w:r>
      <w:r w:rsidR="00670F5A">
        <w:t xml:space="preserve">is </w:t>
      </w:r>
      <w:r w:rsidR="00533D33" w:rsidRPr="006D367C">
        <w:t>also to assist students to complete compulsory education (The Finnish National Board of Education</w:t>
      </w:r>
      <w:r w:rsidR="00AF0EC7">
        <w:t>, 2016</w:t>
      </w:r>
      <w:r w:rsidR="00533D33" w:rsidRPr="006D367C">
        <w:t>)</w:t>
      </w:r>
      <w:r w:rsidR="00433F80" w:rsidRPr="006D367C">
        <w:t>.</w:t>
      </w:r>
      <w:r w:rsidR="007468B9" w:rsidRPr="006D367C">
        <w:t xml:space="preserve"> </w:t>
      </w:r>
      <w:r w:rsidR="00446B66" w:rsidRPr="006D367C">
        <w:rPr>
          <w:rFonts w:cs="Times New Roman"/>
        </w:rPr>
        <w:t>After the legislation amendment in 2011, the share of pupils having received intensified support has grown (</w:t>
      </w:r>
      <w:r w:rsidR="00446B66" w:rsidRPr="006D367C">
        <w:t>S</w:t>
      </w:r>
      <w:r w:rsidRPr="006D367C">
        <w:t>tatistics Finland</w:t>
      </w:r>
      <w:r w:rsidR="003E3DD5">
        <w:t>, 2016</w:t>
      </w:r>
      <w:r w:rsidRPr="006D367C">
        <w:t>). In the PISA studies</w:t>
      </w:r>
      <w:r w:rsidR="00162F26" w:rsidRPr="006D367C">
        <w:t xml:space="preserve">, </w:t>
      </w:r>
      <w:r w:rsidRPr="006D367C">
        <w:t>the gender gap in reading literacy is the widest in Finland; boys are over</w:t>
      </w:r>
      <w:r w:rsidR="004A4E4D" w:rsidRPr="006D367C">
        <w:t>-</w:t>
      </w:r>
      <w:r w:rsidRPr="006D367C">
        <w:t>represented among weak readers (</w:t>
      </w:r>
      <w:r w:rsidR="00393EF1" w:rsidRPr="006D367C">
        <w:t>PISA</w:t>
      </w:r>
      <w:r w:rsidR="00C72640" w:rsidRPr="006D367C">
        <w:t xml:space="preserve">, </w:t>
      </w:r>
      <w:r w:rsidR="00AE25BB" w:rsidRPr="00235D47">
        <w:rPr>
          <w:rFonts w:cs="Times New Roman"/>
          <w:szCs w:val="24"/>
          <w:lang w:val="en-GB"/>
        </w:rPr>
        <w:t>Program for International Student Assessment</w:t>
      </w:r>
      <w:r w:rsidR="00AE25BB">
        <w:rPr>
          <w:rFonts w:cs="Times New Roman"/>
          <w:szCs w:val="24"/>
          <w:lang w:val="en-GB"/>
        </w:rPr>
        <w:t>,</w:t>
      </w:r>
      <w:r w:rsidR="00AE25BB" w:rsidRPr="00235D47">
        <w:rPr>
          <w:rFonts w:cs="Times New Roman"/>
          <w:szCs w:val="24"/>
          <w:lang w:val="en-GB"/>
        </w:rPr>
        <w:t xml:space="preserve"> </w:t>
      </w:r>
      <w:r w:rsidRPr="006D367C">
        <w:t>20</w:t>
      </w:r>
      <w:r w:rsidR="00393EF1" w:rsidRPr="006D367C">
        <w:t>12</w:t>
      </w:r>
      <w:r w:rsidRPr="006D367C">
        <w:t>).</w:t>
      </w:r>
    </w:p>
    <w:p w14:paraId="34E54DB6" w14:textId="77777777" w:rsidR="00FB091E" w:rsidRDefault="00FB091E" w:rsidP="00997091">
      <w:pPr>
        <w:rPr>
          <w:b/>
          <w:bCs/>
          <w:kern w:val="28"/>
          <w:szCs w:val="24"/>
        </w:rPr>
      </w:pPr>
    </w:p>
    <w:p w14:paraId="5BE2FFDB" w14:textId="77777777" w:rsidR="00FB091E" w:rsidRDefault="00D85A3F" w:rsidP="00997091">
      <w:pPr>
        <w:widowControl w:val="0"/>
        <w:overflowPunct w:val="0"/>
        <w:autoSpaceDE w:val="0"/>
        <w:autoSpaceDN w:val="0"/>
        <w:adjustRightInd w:val="0"/>
        <w:ind w:firstLine="0"/>
        <w:rPr>
          <w:b/>
        </w:rPr>
      </w:pPr>
      <w:r w:rsidRPr="000229B9">
        <w:rPr>
          <w:b/>
          <w:bCs/>
          <w:kern w:val="28"/>
        </w:rPr>
        <w:t>Part</w:t>
      </w:r>
      <w:r w:rsidRPr="000229B9">
        <w:rPr>
          <w:b/>
        </w:rPr>
        <w:t>icipants</w:t>
      </w:r>
    </w:p>
    <w:p w14:paraId="2E7E4C00" w14:textId="77777777" w:rsidR="00997091" w:rsidRDefault="00997091" w:rsidP="00997091">
      <w:pPr>
        <w:widowControl w:val="0"/>
        <w:overflowPunct w:val="0"/>
        <w:autoSpaceDE w:val="0"/>
        <w:autoSpaceDN w:val="0"/>
        <w:adjustRightInd w:val="0"/>
        <w:ind w:firstLine="0"/>
        <w:rPr>
          <w:b/>
        </w:rPr>
      </w:pPr>
    </w:p>
    <w:p w14:paraId="3E3674DE" w14:textId="77777777" w:rsidR="00FB091E" w:rsidRDefault="00D85A3F" w:rsidP="00997091">
      <w:r w:rsidRPr="000D424C">
        <w:t xml:space="preserve">This study uses data collected </w:t>
      </w:r>
      <w:r w:rsidR="004A4E4D" w:rsidRPr="000D424C">
        <w:t xml:space="preserve">from </w:t>
      </w:r>
      <w:r w:rsidRPr="000D424C">
        <w:t>the students of all Finland-Swedish middle-schools (n=5) in</w:t>
      </w:r>
      <w:r w:rsidR="004A4E4D" w:rsidRPr="000D424C">
        <w:t xml:space="preserve"> Helsinki,</w:t>
      </w:r>
      <w:r w:rsidRPr="000D424C">
        <w:t xml:space="preserve"> the capital city of Finland. The criterion </w:t>
      </w:r>
      <w:r w:rsidR="000E51D0" w:rsidRPr="000D424C">
        <w:t>for</w:t>
      </w:r>
      <w:r w:rsidRPr="000D424C">
        <w:t xml:space="preserve"> selecting </w:t>
      </w:r>
      <w:r w:rsidR="000E51D0" w:rsidRPr="000D424C">
        <w:t xml:space="preserve">the </w:t>
      </w:r>
      <w:r w:rsidRPr="000D424C">
        <w:t>five case</w:t>
      </w:r>
      <w:r w:rsidR="004A4E4D" w:rsidRPr="000D424C">
        <w:t>-</w:t>
      </w:r>
      <w:r w:rsidRPr="000D424C">
        <w:t>study schools was that th</w:t>
      </w:r>
      <w:r w:rsidR="004A4E4D" w:rsidRPr="000D424C">
        <w:t>ey</w:t>
      </w:r>
      <w:r w:rsidRPr="000D424C">
        <w:t xml:space="preserve"> represent the Swedish-speaking language minority schools</w:t>
      </w:r>
      <w:r w:rsidR="00AF0F7A" w:rsidRPr="006D367C">
        <w:t>.</w:t>
      </w:r>
      <w:r w:rsidR="00875A7D" w:rsidRPr="006D367C">
        <w:t xml:space="preserve"> The data was collected from Finland-Swedish students because Swedish is the second official language in Finland and they represent the most significant language minority group in </w:t>
      </w:r>
      <w:r w:rsidR="00875A7D" w:rsidRPr="006D367C">
        <w:lastRenderedPageBreak/>
        <w:t>Finland</w:t>
      </w:r>
      <w:r w:rsidR="00670F5A">
        <w:t>,</w:t>
      </w:r>
      <w:r w:rsidR="00875A7D" w:rsidRPr="006D367C">
        <w:t xml:space="preserve"> although their PISA-results are slightly poorer than the native Finnish speaking students´ PISA- results. </w:t>
      </w:r>
      <w:r w:rsidR="00AF0F7A" w:rsidRPr="006D367C">
        <w:t>The</w:t>
      </w:r>
      <w:r w:rsidR="00AF0F7A" w:rsidRPr="000D424C">
        <w:t xml:space="preserve"> schools had both</w:t>
      </w:r>
      <w:r w:rsidRPr="000D424C">
        <w:t xml:space="preserve"> general education students and students with special needs, </w:t>
      </w:r>
      <w:r w:rsidR="004A4E4D" w:rsidRPr="000D424C">
        <w:t>which</w:t>
      </w:r>
      <w:r w:rsidRPr="000D424C">
        <w:t xml:space="preserve"> represent</w:t>
      </w:r>
      <w:r w:rsidR="004A4E4D" w:rsidRPr="000D424C">
        <w:t>ed</w:t>
      </w:r>
      <w:r w:rsidRPr="000D424C">
        <w:t xml:space="preserve"> a minority of the students in the sample. The schools were of various sizes and situated all around the city.</w:t>
      </w:r>
    </w:p>
    <w:p w14:paraId="4A2E2C75" w14:textId="77777777" w:rsidR="00FB091E" w:rsidRDefault="00D85A3F" w:rsidP="00997091">
      <w:r w:rsidRPr="000D424C">
        <w:t>Seventh graders were chosen as participants because they had just undergone the transition from sixth grade, from the elementary grades to the secondary grades. All the students with special needs were diagnosed as having min</w:t>
      </w:r>
      <w:r w:rsidR="00AF0F7A" w:rsidRPr="000D424C">
        <w:t>or learning difficulties, and</w:t>
      </w:r>
      <w:r w:rsidRPr="000D424C">
        <w:t xml:space="preserve"> they were included in mainstream education. </w:t>
      </w:r>
      <w:r w:rsidRPr="000D424C">
        <w:rPr>
          <w:lang w:val="en-GB"/>
        </w:rPr>
        <w:t xml:space="preserve">The nature of the learning difficulties varied among the students, </w:t>
      </w:r>
      <w:r w:rsidR="00AF0F7A" w:rsidRPr="000D424C">
        <w:rPr>
          <w:lang w:val="en-GB"/>
        </w:rPr>
        <w:t>ranging from</w:t>
      </w:r>
      <w:r w:rsidRPr="000D424C">
        <w:rPr>
          <w:lang w:val="en-GB"/>
        </w:rPr>
        <w:t xml:space="preserve"> speech disorder</w:t>
      </w:r>
      <w:r w:rsidR="004A4E4D" w:rsidRPr="000D424C">
        <w:rPr>
          <w:lang w:val="en-GB"/>
        </w:rPr>
        <w:t>s</w:t>
      </w:r>
      <w:r w:rsidRPr="000D424C">
        <w:rPr>
          <w:lang w:val="en-GB"/>
        </w:rPr>
        <w:t>, reading or writing disorder</w:t>
      </w:r>
      <w:r w:rsidR="004A4E4D" w:rsidRPr="000D424C">
        <w:rPr>
          <w:lang w:val="en-GB"/>
        </w:rPr>
        <w:t>s</w:t>
      </w:r>
      <w:r w:rsidRPr="000D424C">
        <w:rPr>
          <w:lang w:val="en-GB"/>
        </w:rPr>
        <w:t xml:space="preserve">, learning difficulty in mathematics, learning difficulty in foreign languages, difficulties </w:t>
      </w:r>
      <w:r w:rsidR="000E51D0" w:rsidRPr="000D424C">
        <w:rPr>
          <w:lang w:val="en-GB"/>
        </w:rPr>
        <w:t>with</w:t>
      </w:r>
      <w:r w:rsidRPr="000D424C">
        <w:rPr>
          <w:lang w:val="en-GB"/>
        </w:rPr>
        <w:t xml:space="preserve"> adjustment or emotional disorder</w:t>
      </w:r>
      <w:r w:rsidR="004A4E4D" w:rsidRPr="000D424C">
        <w:rPr>
          <w:lang w:val="en-GB"/>
        </w:rPr>
        <w:t>,</w:t>
      </w:r>
      <w:r w:rsidRPr="000D424C">
        <w:rPr>
          <w:lang w:val="en-GB"/>
        </w:rPr>
        <w:t xml:space="preserve"> or learning difficulties in the school language (Swedish). </w:t>
      </w:r>
      <w:r w:rsidRPr="000D424C">
        <w:t xml:space="preserve">The students were 12–14 years of age. Altogether, 119 </w:t>
      </w:r>
      <w:r w:rsidR="00EC6F64" w:rsidRPr="000D424C">
        <w:t xml:space="preserve">seventh graders </w:t>
      </w:r>
      <w:r w:rsidRPr="000D424C">
        <w:t>responded to the survey (boys=55%; girls=45%). 95</w:t>
      </w:r>
      <w:r w:rsidR="00AF0F7A" w:rsidRPr="000D424C">
        <w:t xml:space="preserve"> </w:t>
      </w:r>
      <w:r w:rsidR="004A4E4D" w:rsidRPr="000D424C">
        <w:t>students</w:t>
      </w:r>
      <w:r w:rsidRPr="000D424C">
        <w:t xml:space="preserve"> following mains</w:t>
      </w:r>
      <w:r w:rsidR="00AF0F7A" w:rsidRPr="000D424C">
        <w:t>tream education (</w:t>
      </w:r>
      <w:r w:rsidR="004A4E4D" w:rsidRPr="000D424C">
        <w:t xml:space="preserve">the </w:t>
      </w:r>
      <w:r w:rsidR="00AF0F7A" w:rsidRPr="000D424C">
        <w:t xml:space="preserve">term </w:t>
      </w:r>
      <w:r w:rsidRPr="000D424C">
        <w:t xml:space="preserve">general </w:t>
      </w:r>
      <w:r w:rsidR="00AF0F7A" w:rsidRPr="000D424C">
        <w:t>education students will be used in the results)</w:t>
      </w:r>
      <w:r w:rsidRPr="000D424C">
        <w:t xml:space="preserve"> and 24 seventh grade</w:t>
      </w:r>
      <w:r w:rsidR="00AF0F7A" w:rsidRPr="000D424C">
        <w:t>rs attending special education</w:t>
      </w:r>
      <w:r w:rsidRPr="000D424C">
        <w:t xml:space="preserve"> participated in this study. </w:t>
      </w:r>
      <w:r w:rsidR="00EC6F64" w:rsidRPr="000D424C">
        <w:t>The total response rate was 38%.</w:t>
      </w:r>
    </w:p>
    <w:p w14:paraId="686C6D1A" w14:textId="77777777" w:rsidR="00FB091E" w:rsidRDefault="00FB091E" w:rsidP="00997091">
      <w:pPr>
        <w:ind w:firstLine="0"/>
        <w:rPr>
          <w:szCs w:val="24"/>
          <w:lang w:val="en-GB"/>
        </w:rPr>
      </w:pPr>
    </w:p>
    <w:p w14:paraId="22A26E2A" w14:textId="77777777" w:rsidR="00FB091E" w:rsidRDefault="00997091" w:rsidP="00997091">
      <w:pPr>
        <w:ind w:firstLine="0"/>
        <w:rPr>
          <w:b/>
        </w:rPr>
      </w:pPr>
      <w:r>
        <w:rPr>
          <w:b/>
        </w:rPr>
        <w:t>Data Collection and I</w:t>
      </w:r>
      <w:r w:rsidR="00D85A3F" w:rsidRPr="00C173BB">
        <w:rPr>
          <w:b/>
        </w:rPr>
        <w:t>nstrument</w:t>
      </w:r>
    </w:p>
    <w:p w14:paraId="4C69146E" w14:textId="77777777" w:rsidR="00997091" w:rsidRDefault="00997091" w:rsidP="00997091">
      <w:pPr>
        <w:ind w:firstLine="0"/>
        <w:rPr>
          <w:b/>
        </w:rPr>
      </w:pPr>
    </w:p>
    <w:p w14:paraId="76418B43" w14:textId="77777777" w:rsidR="00FB091E" w:rsidRDefault="00D85A3F" w:rsidP="00997091">
      <w:r w:rsidRPr="00877A70">
        <w:t xml:space="preserve">The data were collected </w:t>
      </w:r>
      <w:r w:rsidR="004A4E4D" w:rsidRPr="000D424C">
        <w:t xml:space="preserve">using </w:t>
      </w:r>
      <w:r w:rsidR="00C44BAB" w:rsidRPr="006D367C">
        <w:t>students´ written responses to the open-ended questions.</w:t>
      </w:r>
      <w:r w:rsidR="00080DA6" w:rsidRPr="006D367C">
        <w:t xml:space="preserve"> The data were collected in </w:t>
      </w:r>
      <w:r w:rsidR="004A4E4D" w:rsidRPr="006D367C">
        <w:t xml:space="preserve">the </w:t>
      </w:r>
      <w:r w:rsidR="00080DA6" w:rsidRPr="006D367C">
        <w:t xml:space="preserve">time period </w:t>
      </w:r>
      <w:r w:rsidRPr="006D367C">
        <w:t xml:space="preserve">between the </w:t>
      </w:r>
      <w:r w:rsidR="00080DA6" w:rsidRPr="006D367C">
        <w:t xml:space="preserve">late </w:t>
      </w:r>
      <w:r w:rsidRPr="006D367C">
        <w:t>spring of 2011 and January 2012. The open-ended questions mapp</w:t>
      </w:r>
      <w:r w:rsidR="00C44BAB" w:rsidRPr="006D367C">
        <w:t>ed</w:t>
      </w:r>
      <w:r w:rsidRPr="006D367C">
        <w:t xml:space="preserve"> the educational path in terms of </w:t>
      </w:r>
      <w:r w:rsidR="00C44BAB" w:rsidRPr="006D367C">
        <w:t xml:space="preserve">students´ </w:t>
      </w:r>
      <w:r w:rsidRPr="006D367C">
        <w:t>significant school experiences</w:t>
      </w:r>
      <w:r w:rsidR="00C44BAB" w:rsidRPr="006D367C">
        <w:t>.</w:t>
      </w:r>
      <w:r w:rsidRPr="006D367C">
        <w:t xml:space="preserve"> </w:t>
      </w:r>
      <w:r w:rsidR="00080DA6" w:rsidRPr="006D367C">
        <w:rPr>
          <w:kern w:val="28"/>
        </w:rPr>
        <w:t>The instrument was</w:t>
      </w:r>
      <w:r w:rsidRPr="006D367C">
        <w:rPr>
          <w:kern w:val="28"/>
        </w:rPr>
        <w:t xml:space="preserve"> translated </w:t>
      </w:r>
      <w:r w:rsidR="004A4E4D" w:rsidRPr="006D367C">
        <w:rPr>
          <w:kern w:val="28"/>
        </w:rPr>
        <w:t>in</w:t>
      </w:r>
      <w:r w:rsidRPr="006D367C">
        <w:rPr>
          <w:kern w:val="28"/>
        </w:rPr>
        <w:t>to Swedish by the first author</w:t>
      </w:r>
      <w:r w:rsidR="00080DA6" w:rsidRPr="006D367C">
        <w:rPr>
          <w:kern w:val="28"/>
        </w:rPr>
        <w:t>,</w:t>
      </w:r>
      <w:r w:rsidRPr="006D367C">
        <w:rPr>
          <w:kern w:val="28"/>
        </w:rPr>
        <w:t xml:space="preserve"> and it </w:t>
      </w:r>
      <w:r w:rsidR="00080DA6" w:rsidRPr="006D367C">
        <w:rPr>
          <w:kern w:val="28"/>
        </w:rPr>
        <w:t>utilizes</w:t>
      </w:r>
      <w:r w:rsidRPr="006D367C">
        <w:rPr>
          <w:kern w:val="28"/>
        </w:rPr>
        <w:t xml:space="preserve"> </w:t>
      </w:r>
      <w:r w:rsidR="00EF7392" w:rsidRPr="006D367C">
        <w:rPr>
          <w:kern w:val="28"/>
        </w:rPr>
        <w:t>a</w:t>
      </w:r>
      <w:r w:rsidR="00DB2480">
        <w:rPr>
          <w:kern w:val="28"/>
        </w:rPr>
        <w:t>n</w:t>
      </w:r>
      <w:r w:rsidR="00604DF0" w:rsidRPr="006D367C">
        <w:rPr>
          <w:kern w:val="28"/>
        </w:rPr>
        <w:t xml:space="preserve"> open ended questionnaire protocol</w:t>
      </w:r>
      <w:r w:rsidRPr="006D367C">
        <w:rPr>
          <w:kern w:val="28"/>
        </w:rPr>
        <w:t xml:space="preserve"> developed by </w:t>
      </w:r>
      <w:r w:rsidR="004A4E4D" w:rsidRPr="006D367C">
        <w:rPr>
          <w:kern w:val="28"/>
        </w:rPr>
        <w:t xml:space="preserve">the </w:t>
      </w:r>
      <w:r w:rsidRPr="006D367C">
        <w:rPr>
          <w:kern w:val="28"/>
        </w:rPr>
        <w:t>research group</w:t>
      </w:r>
      <w:r w:rsidRPr="006D367C">
        <w:t xml:space="preserve"> (</w:t>
      </w:r>
      <w:r w:rsidR="000D424C" w:rsidRPr="006D367C">
        <w:rPr>
          <w:kern w:val="28"/>
        </w:rPr>
        <w:t>Pyhältö</w:t>
      </w:r>
      <w:r w:rsidR="00EF7392" w:rsidRPr="006D367C">
        <w:rPr>
          <w:kern w:val="28"/>
        </w:rPr>
        <w:t xml:space="preserve"> et al., 2</w:t>
      </w:r>
      <w:r w:rsidR="000D424C" w:rsidRPr="006D367C">
        <w:rPr>
          <w:kern w:val="28"/>
        </w:rPr>
        <w:t>010)</w:t>
      </w:r>
      <w:r w:rsidR="00AD1257" w:rsidRPr="006D367C">
        <w:rPr>
          <w:kern w:val="28"/>
        </w:rPr>
        <w:t xml:space="preserve">. </w:t>
      </w:r>
      <w:r w:rsidRPr="006D367C">
        <w:t>The</w:t>
      </w:r>
      <w:r w:rsidRPr="000D424C">
        <w:t xml:space="preserve"> correctness of the translation was verified by another researcher. </w:t>
      </w:r>
    </w:p>
    <w:p w14:paraId="4B88783C" w14:textId="77777777" w:rsidR="00FB091E" w:rsidRDefault="00D85A3F" w:rsidP="00997091">
      <w:pPr>
        <w:rPr>
          <w:kern w:val="28"/>
          <w:szCs w:val="24"/>
        </w:rPr>
      </w:pPr>
      <w:r w:rsidRPr="000D424C">
        <w:t xml:space="preserve">Students were given verbal and written instructions for completing </w:t>
      </w:r>
      <w:r w:rsidR="00207C93" w:rsidRPr="000D424C">
        <w:t>the questionnaire</w:t>
      </w:r>
      <w:r w:rsidRPr="000D424C">
        <w:t>. Participation was voluntary and the parents were informed about the date of the questionnaire and were asked for their consent for participation. Students were provided with assistance if they needed</w:t>
      </w:r>
      <w:r w:rsidR="004A4E4D" w:rsidRPr="000D424C">
        <w:t xml:space="preserve"> it</w:t>
      </w:r>
      <w:r w:rsidRPr="000D424C">
        <w:t xml:space="preserve">. The researcher was present in all schools </w:t>
      </w:r>
      <w:r w:rsidR="004A4E4D" w:rsidRPr="000D424C">
        <w:t>to</w:t>
      </w:r>
      <w:r w:rsidRPr="000D424C">
        <w:t xml:space="preserve"> collect the data. The students with special needs completed the questionnaire with the other students in group format</w:t>
      </w:r>
      <w:r w:rsidR="004A4E4D" w:rsidRPr="000D424C">
        <w:t>,</w:t>
      </w:r>
      <w:r w:rsidR="007A49C0" w:rsidRPr="000D424C">
        <w:t xml:space="preserve"> meaning </w:t>
      </w:r>
      <w:r w:rsidR="004A4E4D" w:rsidRPr="000D424C">
        <w:t xml:space="preserve">that </w:t>
      </w:r>
      <w:r w:rsidR="007A49C0" w:rsidRPr="000D424C">
        <w:t xml:space="preserve">all students wrote </w:t>
      </w:r>
      <w:r w:rsidR="007A49C0" w:rsidRPr="0032625E">
        <w:t xml:space="preserve">down </w:t>
      </w:r>
      <w:r w:rsidR="004A4E4D" w:rsidRPr="0032625E">
        <w:t xml:space="preserve">the information </w:t>
      </w:r>
      <w:r w:rsidR="007A49C0" w:rsidRPr="0032625E">
        <w:t xml:space="preserve">by themselves. </w:t>
      </w:r>
      <w:r w:rsidR="00F12E1F" w:rsidRPr="0032625E">
        <w:t>In this study</w:t>
      </w:r>
      <w:r w:rsidR="004A4E4D" w:rsidRPr="0032625E">
        <w:t>,</w:t>
      </w:r>
      <w:r w:rsidR="00F12E1F" w:rsidRPr="0032625E">
        <w:t xml:space="preserve"> we used three items from the </w:t>
      </w:r>
      <w:r w:rsidR="007A49C0" w:rsidRPr="0032625E">
        <w:t>questionnaire</w:t>
      </w:r>
      <w:r w:rsidR="00F12E1F" w:rsidRPr="0032625E">
        <w:t>.</w:t>
      </w:r>
      <w:r w:rsidRPr="0032625E">
        <w:t xml:space="preserve"> It took </w:t>
      </w:r>
      <w:r w:rsidR="00863CC6" w:rsidRPr="0032625E">
        <w:t>from</w:t>
      </w:r>
      <w:r w:rsidRPr="0032625E">
        <w:t xml:space="preserve"> 15 to 35 minutes to complete </w:t>
      </w:r>
      <w:r w:rsidRPr="006D367C">
        <w:t xml:space="preserve">the </w:t>
      </w:r>
      <w:r w:rsidR="00AD1257" w:rsidRPr="006D367C">
        <w:t>task</w:t>
      </w:r>
      <w:r w:rsidRPr="006D367C">
        <w:t>.</w:t>
      </w:r>
      <w:r w:rsidR="007A49C0" w:rsidRPr="0032625E">
        <w:t xml:space="preserve"> </w:t>
      </w:r>
    </w:p>
    <w:p w14:paraId="4D79690B" w14:textId="77777777" w:rsidR="003652F5" w:rsidRDefault="00207C93" w:rsidP="00997091">
      <w:r w:rsidRPr="007F68D7">
        <w:t>O</w:t>
      </w:r>
      <w:r w:rsidR="00D85A3F" w:rsidRPr="00EE1739">
        <w:t>pen-ended questions on significant (negative and positive) school experiences throughout the school career were analyzed.</w:t>
      </w:r>
      <w:r w:rsidR="00D85A3F" w:rsidRPr="0032625E">
        <w:t xml:space="preserve"> The seventh graders’ perceptions of critical incidents occurring between grades 1 to 6 w</w:t>
      </w:r>
      <w:r w:rsidR="004A4E4D" w:rsidRPr="0032625E">
        <w:t>ere</w:t>
      </w:r>
      <w:r w:rsidR="00D85A3F" w:rsidRPr="0032625E">
        <w:t xml:space="preserve"> </w:t>
      </w:r>
      <w:r w:rsidR="004A4E4D" w:rsidRPr="0032625E">
        <w:t>gathered using</w:t>
      </w:r>
      <w:r w:rsidR="00D85A3F" w:rsidRPr="0032625E">
        <w:t xml:space="preserve"> </w:t>
      </w:r>
      <w:r w:rsidR="004A4E4D" w:rsidRPr="0032625E">
        <w:t xml:space="preserve">a </w:t>
      </w:r>
      <w:r w:rsidR="00D85A3F" w:rsidRPr="0032625E">
        <w:t xml:space="preserve">semi-structured qualitative instrument that contained the following questions: </w:t>
      </w:r>
      <w:r w:rsidR="00D85A3F" w:rsidRPr="0032625E">
        <w:rPr>
          <w:i/>
        </w:rPr>
        <w:t xml:space="preserve">Describe a positive school experience. </w:t>
      </w:r>
      <w:r w:rsidR="00863CC6" w:rsidRPr="0032625E">
        <w:rPr>
          <w:i/>
        </w:rPr>
        <w:t>Write</w:t>
      </w:r>
      <w:r w:rsidR="00D85A3F" w:rsidRPr="0032625E">
        <w:rPr>
          <w:i/>
        </w:rPr>
        <w:t xml:space="preserve"> what happened</w:t>
      </w:r>
      <w:r w:rsidR="004A4E4D" w:rsidRPr="0032625E">
        <w:rPr>
          <w:i/>
        </w:rPr>
        <w:t>.</w:t>
      </w:r>
      <w:r w:rsidR="00D85A3F" w:rsidRPr="0032625E">
        <w:rPr>
          <w:i/>
        </w:rPr>
        <w:t xml:space="preserve"> What was the situation about? What were you thinking and feeling at that time? Describe a negative school experience. </w:t>
      </w:r>
      <w:r w:rsidR="00863CC6" w:rsidRPr="0032625E">
        <w:rPr>
          <w:i/>
        </w:rPr>
        <w:t>Write</w:t>
      </w:r>
      <w:r w:rsidR="00D85A3F" w:rsidRPr="0032625E">
        <w:rPr>
          <w:i/>
        </w:rPr>
        <w:t xml:space="preserve"> what happened</w:t>
      </w:r>
      <w:r w:rsidR="004A4E4D" w:rsidRPr="0032625E">
        <w:rPr>
          <w:i/>
        </w:rPr>
        <w:t>.</w:t>
      </w:r>
      <w:r w:rsidR="00D85A3F" w:rsidRPr="0032625E">
        <w:rPr>
          <w:i/>
        </w:rPr>
        <w:t xml:space="preserve"> What was the situation about? What were you thinking and feeling at that time?</w:t>
      </w:r>
      <w:r w:rsidR="00D85A3F" w:rsidRPr="0032625E">
        <w:t xml:space="preserve"> Students were also asked to place the two types of experiences on the timeline of their comprehensive school path</w:t>
      </w:r>
      <w:r w:rsidR="004A4E4D" w:rsidRPr="0032625E">
        <w:t>,</w:t>
      </w:r>
      <w:r w:rsidR="00D85A3F" w:rsidRPr="0032625E">
        <w:t xml:space="preserve"> </w:t>
      </w:r>
      <w:r w:rsidR="004A4E4D" w:rsidRPr="0032625E">
        <w:t xml:space="preserve">using </w:t>
      </w:r>
      <w:r w:rsidR="00D85A3F" w:rsidRPr="0032625E">
        <w:t xml:space="preserve">the question: </w:t>
      </w:r>
      <w:r w:rsidR="00D85A3F" w:rsidRPr="0032625E">
        <w:rPr>
          <w:i/>
        </w:rPr>
        <w:t>When did this event take place? Please mark both the highly positive (with +) and the negative (with -) experiences on the timeline</w:t>
      </w:r>
      <w:r w:rsidR="00863CC6" w:rsidRPr="0032625E">
        <w:rPr>
          <w:i/>
        </w:rPr>
        <w:t xml:space="preserve"> below, which</w:t>
      </w:r>
      <w:r w:rsidR="00D85A3F" w:rsidRPr="0032625E">
        <w:rPr>
          <w:i/>
        </w:rPr>
        <w:t xml:space="preserve"> describes your school career from the first to the sixth grade! </w:t>
      </w:r>
      <w:r w:rsidR="00D85A3F" w:rsidRPr="0032625E">
        <w:t>In addition, the background variable of group attachment, that is, students with special needs (marked further as group A) and those stude</w:t>
      </w:r>
      <w:r w:rsidR="001B7466" w:rsidRPr="0032625E">
        <w:t>nts attending general education</w:t>
      </w:r>
      <w:r w:rsidR="00D85A3F" w:rsidRPr="0032625E">
        <w:t xml:space="preserve"> </w:t>
      </w:r>
      <w:r w:rsidR="001B7466" w:rsidRPr="0032625E">
        <w:t>(</w:t>
      </w:r>
      <w:r w:rsidR="00D85A3F" w:rsidRPr="0032625E">
        <w:t xml:space="preserve">marked further as group B), </w:t>
      </w:r>
      <w:r w:rsidR="008D74A6" w:rsidRPr="0032625E">
        <w:t xml:space="preserve">was included </w:t>
      </w:r>
      <w:r w:rsidR="004A4E4D" w:rsidRPr="0032625E">
        <w:t xml:space="preserve">in </w:t>
      </w:r>
      <w:r w:rsidR="008D74A6" w:rsidRPr="0032625E">
        <w:t xml:space="preserve">the instrument. </w:t>
      </w:r>
      <w:r w:rsidR="00D85A3F" w:rsidRPr="0032625E">
        <w:t xml:space="preserve">Accordingly, </w:t>
      </w:r>
      <w:r w:rsidR="00D85A3F" w:rsidRPr="006D367C">
        <w:t xml:space="preserve">the purpose of the </w:t>
      </w:r>
      <w:r w:rsidR="00C44BAB" w:rsidRPr="006D367C">
        <w:t>questions w</w:t>
      </w:r>
      <w:r w:rsidR="00670F5A">
        <w:t>ere</w:t>
      </w:r>
      <w:r w:rsidR="00C44BAB" w:rsidRPr="006D367C">
        <w:t xml:space="preserve"> </w:t>
      </w:r>
      <w:r w:rsidR="0007686A" w:rsidRPr="006D367C">
        <w:t>to</w:t>
      </w:r>
      <w:r w:rsidR="00C44BAB" w:rsidRPr="006D367C">
        <w:t xml:space="preserve"> </w:t>
      </w:r>
      <w:r w:rsidR="00D85A3F" w:rsidRPr="006D367C">
        <w:t xml:space="preserve">encourage the students to describe their overall school experience and to identify significant episodes (critical incidents) in their school career that contribute to the process of school engagement. The written answers were decoded into text files by the researcher. </w:t>
      </w:r>
      <w:r w:rsidR="00C05065" w:rsidRPr="006D367C">
        <w:t>A</w:t>
      </w:r>
      <w:r w:rsidR="00C84C79" w:rsidRPr="006D367C">
        <w:t xml:space="preserve">ll </w:t>
      </w:r>
      <w:r w:rsidR="00DA4541" w:rsidRPr="006D367C">
        <w:t>119 student</w:t>
      </w:r>
      <w:r w:rsidR="00C84C79" w:rsidRPr="006D367C">
        <w:t>s´</w:t>
      </w:r>
      <w:r w:rsidR="00DA4541" w:rsidRPr="006D367C">
        <w:t xml:space="preserve"> answers</w:t>
      </w:r>
      <w:r w:rsidR="00C84C79" w:rsidRPr="006D367C">
        <w:t xml:space="preserve"> to </w:t>
      </w:r>
    </w:p>
    <w:p w14:paraId="45BF9D44" w14:textId="77777777" w:rsidR="00FB091E" w:rsidRDefault="00C84C79" w:rsidP="003652F5">
      <w:pPr>
        <w:ind w:firstLine="0"/>
      </w:pPr>
      <w:r w:rsidRPr="006D367C">
        <w:lastRenderedPageBreak/>
        <w:t>the three open-ended questions</w:t>
      </w:r>
      <w:r w:rsidR="00C05065" w:rsidRPr="006D367C">
        <w:t xml:space="preserve"> were analyzed</w:t>
      </w:r>
      <w:r w:rsidR="00DA4541" w:rsidRPr="006D367C">
        <w:t>. One student could have mentioned more than one positive or negative experience although they were asked to mention just one positive and negative experience</w:t>
      </w:r>
      <w:r w:rsidR="00AC49E3">
        <w:rPr>
          <w:kern w:val="28"/>
        </w:rPr>
        <w:t>.</w:t>
      </w:r>
    </w:p>
    <w:p w14:paraId="63012479" w14:textId="77777777" w:rsidR="00FB091E" w:rsidRDefault="00FB091E" w:rsidP="00997091">
      <w:pPr>
        <w:widowControl w:val="0"/>
        <w:overflowPunct w:val="0"/>
        <w:autoSpaceDE w:val="0"/>
        <w:autoSpaceDN w:val="0"/>
        <w:adjustRightInd w:val="0"/>
        <w:ind w:firstLine="720"/>
        <w:rPr>
          <w:kern w:val="28"/>
          <w:szCs w:val="24"/>
        </w:rPr>
      </w:pPr>
    </w:p>
    <w:p w14:paraId="3DE12FF1" w14:textId="77777777" w:rsidR="00FB091E" w:rsidRDefault="00DC32A0" w:rsidP="00997091">
      <w:pPr>
        <w:ind w:firstLine="0"/>
        <w:rPr>
          <w:b/>
        </w:rPr>
      </w:pPr>
      <w:r w:rsidRPr="0039730A">
        <w:rPr>
          <w:b/>
        </w:rPr>
        <w:t>Analysis</w:t>
      </w:r>
    </w:p>
    <w:p w14:paraId="02F8FF4E" w14:textId="77777777" w:rsidR="00997091" w:rsidRDefault="00997091" w:rsidP="00997091">
      <w:pPr>
        <w:ind w:firstLine="0"/>
      </w:pPr>
    </w:p>
    <w:p w14:paraId="25670324" w14:textId="77777777" w:rsidR="00FB091E" w:rsidRDefault="00DC32A0" w:rsidP="00997091">
      <w:pPr>
        <w:rPr>
          <w:rFonts w:cs="Times New Roman"/>
          <w:szCs w:val="24"/>
          <w:highlight w:val="yellow"/>
        </w:rPr>
      </w:pPr>
      <w:r w:rsidRPr="007F68D7">
        <w:t xml:space="preserve">The open-ended questions </w:t>
      </w:r>
      <w:r w:rsidR="007D6C9E">
        <w:t xml:space="preserve">were </w:t>
      </w:r>
      <w:r w:rsidRPr="007F68D7">
        <w:t>about significant e</w:t>
      </w:r>
      <w:r w:rsidR="00C05065" w:rsidRPr="007F68D7">
        <w:t>xperiences</w:t>
      </w:r>
      <w:r w:rsidRPr="007F68D7">
        <w:t xml:space="preserve"> that students face</w:t>
      </w:r>
      <w:r w:rsidR="00CD0D05" w:rsidRPr="007F68D7">
        <w:t xml:space="preserve"> during their school careers</w:t>
      </w:r>
      <w:r w:rsidR="007D6C9E">
        <w:t>. These experiences</w:t>
      </w:r>
      <w:r w:rsidR="00CD0D05" w:rsidRPr="007F68D7">
        <w:t xml:space="preserve"> were seen as critical incidents in which the events</w:t>
      </w:r>
      <w:r w:rsidRPr="007F68D7">
        <w:t xml:space="preserve"> crucial for student school engagement become observable.</w:t>
      </w:r>
      <w:r w:rsidR="00C874FB" w:rsidRPr="004D427B">
        <w:rPr>
          <w:szCs w:val="24"/>
        </w:rPr>
        <w:t xml:space="preserve"> The critical incident technique</w:t>
      </w:r>
      <w:r w:rsidR="00C95645" w:rsidRPr="004D427B">
        <w:rPr>
          <w:szCs w:val="24"/>
        </w:rPr>
        <w:t xml:space="preserve"> was utilized</w:t>
      </w:r>
      <w:r w:rsidR="00C874FB" w:rsidRPr="004D427B">
        <w:rPr>
          <w:szCs w:val="24"/>
        </w:rPr>
        <w:t xml:space="preserve"> to identify students’ positive</w:t>
      </w:r>
      <w:r w:rsidR="00C05065">
        <w:rPr>
          <w:szCs w:val="24"/>
        </w:rPr>
        <w:t xml:space="preserve"> engaging</w:t>
      </w:r>
      <w:r w:rsidR="00C874FB" w:rsidRPr="004D427B">
        <w:rPr>
          <w:szCs w:val="24"/>
        </w:rPr>
        <w:t xml:space="preserve"> and negative </w:t>
      </w:r>
      <w:r w:rsidR="00C05065">
        <w:rPr>
          <w:szCs w:val="24"/>
        </w:rPr>
        <w:t>diseng</w:t>
      </w:r>
      <w:r w:rsidR="00044C4C">
        <w:rPr>
          <w:szCs w:val="24"/>
        </w:rPr>
        <w:t>a</w:t>
      </w:r>
      <w:r w:rsidR="001E5870">
        <w:rPr>
          <w:szCs w:val="24"/>
        </w:rPr>
        <w:t>g</w:t>
      </w:r>
      <w:r w:rsidR="00C05065">
        <w:rPr>
          <w:szCs w:val="24"/>
        </w:rPr>
        <w:t xml:space="preserve">ing </w:t>
      </w:r>
      <w:r w:rsidR="00C874FB" w:rsidRPr="004D427B">
        <w:rPr>
          <w:szCs w:val="24"/>
        </w:rPr>
        <w:t>school experiences (Tripp, 1993).</w:t>
      </w:r>
      <w:r w:rsidRPr="004D427B">
        <w:rPr>
          <w:szCs w:val="24"/>
          <w:lang w:val="en-GB"/>
        </w:rPr>
        <w:t xml:space="preserve"> </w:t>
      </w:r>
      <w:r w:rsidRPr="004D427B">
        <w:rPr>
          <w:szCs w:val="24"/>
          <w:lang w:val="en-GB" w:eastAsia="fi-FI"/>
        </w:rPr>
        <w:t xml:space="preserve">The students’ answers were independently </w:t>
      </w:r>
      <w:r w:rsidR="000A5CFF">
        <w:rPr>
          <w:szCs w:val="24"/>
          <w:lang w:val="en-GB" w:eastAsia="fi-FI"/>
        </w:rPr>
        <w:t>c</w:t>
      </w:r>
      <w:r w:rsidRPr="004D427B">
        <w:rPr>
          <w:szCs w:val="24"/>
          <w:lang w:val="en-GB" w:eastAsia="fi-FI"/>
        </w:rPr>
        <w:t>ontent-analy</w:t>
      </w:r>
      <w:r w:rsidR="007D15AC" w:rsidRPr="004D427B">
        <w:rPr>
          <w:szCs w:val="24"/>
          <w:lang w:val="en-GB" w:eastAsia="fi-FI"/>
        </w:rPr>
        <w:t>zed</w:t>
      </w:r>
      <w:r w:rsidR="00C95645" w:rsidRPr="004D427B">
        <w:rPr>
          <w:szCs w:val="24"/>
        </w:rPr>
        <w:t xml:space="preserve"> </w:t>
      </w:r>
      <w:r w:rsidRPr="004D427B">
        <w:rPr>
          <w:szCs w:val="24"/>
        </w:rPr>
        <w:t>(Haig, 2005).</w:t>
      </w:r>
      <w:r w:rsidR="00C3644C">
        <w:rPr>
          <w:szCs w:val="24"/>
        </w:rPr>
        <w:t xml:space="preserve"> </w:t>
      </w:r>
    </w:p>
    <w:p w14:paraId="7BF05192" w14:textId="77777777" w:rsidR="00FB091E" w:rsidRDefault="00157C7A" w:rsidP="00997091">
      <w:pPr>
        <w:rPr>
          <w:szCs w:val="24"/>
        </w:rPr>
      </w:pPr>
      <w:r w:rsidRPr="006D367C">
        <w:rPr>
          <w:szCs w:val="24"/>
        </w:rPr>
        <w:t>The units of analyses were constructed on the bas</w:t>
      </w:r>
      <w:r w:rsidR="007D6C9E">
        <w:rPr>
          <w:szCs w:val="24"/>
        </w:rPr>
        <w:t>is</w:t>
      </w:r>
      <w:r w:rsidRPr="006D367C">
        <w:rPr>
          <w:szCs w:val="24"/>
        </w:rPr>
        <w:t xml:space="preserve"> of the students´ answers of the open-ended questions: Describe a positive school experience. Write what happened. What was the situation about? What were you thinking and feeling at that time? Describe a negative school experience. Write what happened. What was the situation about? What were you thinking and feeling at that</w:t>
      </w:r>
      <w:r w:rsidRPr="006D367C">
        <w:rPr>
          <w:i/>
          <w:szCs w:val="24"/>
        </w:rPr>
        <w:t xml:space="preserve"> </w:t>
      </w:r>
      <w:r w:rsidR="000B6B0E" w:rsidRPr="000B6B0E">
        <w:rPr>
          <w:szCs w:val="24"/>
        </w:rPr>
        <w:t>time?</w:t>
      </w:r>
      <w:r w:rsidRPr="006D367C">
        <w:rPr>
          <w:i/>
          <w:szCs w:val="24"/>
        </w:rPr>
        <w:t xml:space="preserve"> </w:t>
      </w:r>
      <w:r w:rsidR="00DC32A0" w:rsidRPr="006D367C">
        <w:rPr>
          <w:szCs w:val="24"/>
        </w:rPr>
        <w:t xml:space="preserve">The analysis included </w:t>
      </w:r>
      <w:r w:rsidR="000B5BD5" w:rsidRPr="006D367C">
        <w:rPr>
          <w:szCs w:val="24"/>
        </w:rPr>
        <w:t>three</w:t>
      </w:r>
      <w:r w:rsidR="00DC32A0" w:rsidRPr="004D427B">
        <w:rPr>
          <w:szCs w:val="24"/>
        </w:rPr>
        <w:t xml:space="preserve"> phases: 1) the analysis of the time frame in terms of positive and negative school experiences, 2) the categorization of context</w:t>
      </w:r>
      <w:r w:rsidR="00AE469C" w:rsidRPr="004D427B">
        <w:rPr>
          <w:szCs w:val="24"/>
        </w:rPr>
        <w:t>s</w:t>
      </w:r>
      <w:r w:rsidR="00DC32A0" w:rsidRPr="004D427B">
        <w:rPr>
          <w:szCs w:val="24"/>
        </w:rPr>
        <w:t xml:space="preserve"> </w:t>
      </w:r>
      <w:r w:rsidR="00234229" w:rsidRPr="004D427B">
        <w:rPr>
          <w:szCs w:val="24"/>
        </w:rPr>
        <w:t xml:space="preserve">in </w:t>
      </w:r>
      <w:r w:rsidR="007D15AC" w:rsidRPr="004D427B">
        <w:rPr>
          <w:szCs w:val="24"/>
        </w:rPr>
        <w:t xml:space="preserve">which </w:t>
      </w:r>
      <w:r w:rsidR="00234229" w:rsidRPr="004D427B">
        <w:rPr>
          <w:szCs w:val="24"/>
        </w:rPr>
        <w:t xml:space="preserve">the </w:t>
      </w:r>
      <w:r w:rsidR="00DC32A0" w:rsidRPr="004D427B">
        <w:rPr>
          <w:szCs w:val="24"/>
        </w:rPr>
        <w:t>antecedents of emotional and cognitive engagement</w:t>
      </w:r>
      <w:r w:rsidR="00AE469C" w:rsidRPr="004D427B">
        <w:rPr>
          <w:szCs w:val="24"/>
        </w:rPr>
        <w:t xml:space="preserve"> occurred</w:t>
      </w:r>
      <w:r w:rsidR="00DC32A0" w:rsidRPr="004D427B">
        <w:rPr>
          <w:szCs w:val="24"/>
        </w:rPr>
        <w:t xml:space="preserve">, and </w:t>
      </w:r>
      <w:r w:rsidR="000B5BD5" w:rsidRPr="004D427B">
        <w:rPr>
          <w:szCs w:val="24"/>
        </w:rPr>
        <w:t>3</w:t>
      </w:r>
      <w:r w:rsidR="00DC32A0" w:rsidRPr="004D427B">
        <w:rPr>
          <w:szCs w:val="24"/>
        </w:rPr>
        <w:t xml:space="preserve">) the comparison of general and special education students’ experiences in terms of engaging school experiences. </w:t>
      </w:r>
    </w:p>
    <w:p w14:paraId="4D76488C" w14:textId="77777777" w:rsidR="00FB091E" w:rsidRDefault="00DC32A0" w:rsidP="00997091">
      <w:pPr>
        <w:pStyle w:val="NormalWeb"/>
      </w:pPr>
      <w:r w:rsidRPr="006E6DA5">
        <w:t xml:space="preserve">In the first phase, </w:t>
      </w:r>
      <w:r w:rsidR="00E50728" w:rsidRPr="006E6DA5">
        <w:t>all the text segments in which students described their involvement, including descriptions of themselves</w:t>
      </w:r>
      <w:r w:rsidR="00E50728" w:rsidRPr="00EF74B4">
        <w:t>, their attitudes, behavior, or activities in different school contexts</w:t>
      </w:r>
      <w:r w:rsidR="00CB3EB9">
        <w:t xml:space="preserve"> that they considered highly significant</w:t>
      </w:r>
      <w:r w:rsidR="00E50728" w:rsidRPr="00EF74B4">
        <w:t>, were coded into the same</w:t>
      </w:r>
      <w:r w:rsidR="00CB3EB9">
        <w:t xml:space="preserve"> </w:t>
      </w:r>
      <w:r w:rsidR="00691D6E" w:rsidRPr="00691D6E">
        <w:rPr>
          <w:i/>
        </w:rPr>
        <w:t>critical</w:t>
      </w:r>
      <w:r w:rsidR="00CB3EB9">
        <w:rPr>
          <w:i/>
        </w:rPr>
        <w:t xml:space="preserve"> incidents of</w:t>
      </w:r>
      <w:r w:rsidR="00691D6E" w:rsidRPr="00691D6E">
        <w:rPr>
          <w:i/>
        </w:rPr>
        <w:t xml:space="preserve"> school </w:t>
      </w:r>
      <w:r w:rsidR="00CB3EB9" w:rsidRPr="00CB3EB9">
        <w:rPr>
          <w:i/>
        </w:rPr>
        <w:t>engagement</w:t>
      </w:r>
      <w:r w:rsidR="00E50728">
        <w:t xml:space="preserve"> category that was further divided into two sub-categories:</w:t>
      </w:r>
      <w:r w:rsidRPr="00EF74B4">
        <w:t xml:space="preserve"> </w:t>
      </w:r>
      <w:r w:rsidRPr="00EF74B4">
        <w:rPr>
          <w:i/>
        </w:rPr>
        <w:t xml:space="preserve">positive </w:t>
      </w:r>
      <w:r w:rsidR="003A75B2">
        <w:rPr>
          <w:i/>
        </w:rPr>
        <w:t xml:space="preserve">engaging </w:t>
      </w:r>
      <w:r w:rsidRPr="00EF74B4">
        <w:rPr>
          <w:i/>
        </w:rPr>
        <w:t>and negative</w:t>
      </w:r>
      <w:r w:rsidR="003A75B2">
        <w:rPr>
          <w:i/>
        </w:rPr>
        <w:t xml:space="preserve"> disengaging</w:t>
      </w:r>
      <w:r w:rsidRPr="00EF74B4">
        <w:rPr>
          <w:i/>
        </w:rPr>
        <w:t xml:space="preserve"> </w:t>
      </w:r>
      <w:r w:rsidR="003A75B2">
        <w:rPr>
          <w:i/>
        </w:rPr>
        <w:t xml:space="preserve">school </w:t>
      </w:r>
      <w:r w:rsidRPr="00EF74B4">
        <w:rPr>
          <w:i/>
        </w:rPr>
        <w:t>experiences</w:t>
      </w:r>
      <w:r w:rsidRPr="00EF74B4">
        <w:t xml:space="preserve"> encountered in grades 1</w:t>
      </w:r>
      <w:r w:rsidRPr="00EF74B4">
        <w:rPr>
          <w:kern w:val="28"/>
        </w:rPr>
        <w:t>–</w:t>
      </w:r>
      <w:r w:rsidRPr="00EF74B4">
        <w:t>6</w:t>
      </w:r>
      <w:r w:rsidR="003F25D0">
        <w:t xml:space="preserve">. </w:t>
      </w:r>
      <w:r w:rsidRPr="00EF74B4">
        <w:t xml:space="preserve"> </w:t>
      </w:r>
    </w:p>
    <w:p w14:paraId="4DC9FC19" w14:textId="77777777" w:rsidR="00FB091E" w:rsidRDefault="00E50728" w:rsidP="00997091">
      <w:pPr>
        <w:pStyle w:val="NormalWeb"/>
      </w:pPr>
      <w:r>
        <w:t>At the second phase</w:t>
      </w:r>
      <w:r w:rsidR="00DC32A0" w:rsidRPr="00EF74B4">
        <w:t xml:space="preserve">, </w:t>
      </w:r>
      <w:r>
        <w:t xml:space="preserve">both </w:t>
      </w:r>
      <w:r w:rsidR="00691D6E" w:rsidRPr="00691D6E">
        <w:rPr>
          <w:i/>
        </w:rPr>
        <w:t>the positive engaging</w:t>
      </w:r>
      <w:r>
        <w:t xml:space="preserve"> and the </w:t>
      </w:r>
      <w:r w:rsidR="00691D6E" w:rsidRPr="00691D6E">
        <w:rPr>
          <w:i/>
        </w:rPr>
        <w:t>negative disengaging</w:t>
      </w:r>
      <w:r>
        <w:t xml:space="preserve"> </w:t>
      </w:r>
      <w:r w:rsidR="00691D6E" w:rsidRPr="00691D6E">
        <w:rPr>
          <w:i/>
        </w:rPr>
        <w:t>experiences</w:t>
      </w:r>
      <w:r w:rsidR="00DC32A0" w:rsidRPr="00EF74B4">
        <w:t xml:space="preserve"> were categorized into three exclusive main categories using an inductive strategy: a) </w:t>
      </w:r>
      <w:r w:rsidR="00691D6E" w:rsidRPr="00691D6E">
        <w:rPr>
          <w:i/>
        </w:rPr>
        <w:t>peer interaction</w:t>
      </w:r>
      <w:r w:rsidR="00DC32A0" w:rsidRPr="00EF74B4">
        <w:t xml:space="preserve">, b) </w:t>
      </w:r>
      <w:r w:rsidR="00691D6E" w:rsidRPr="00691D6E">
        <w:rPr>
          <w:i/>
        </w:rPr>
        <w:t>student</w:t>
      </w:r>
      <w:r w:rsidR="00691D6E" w:rsidRPr="00691D6E">
        <w:rPr>
          <w:i/>
          <w:kern w:val="28"/>
        </w:rPr>
        <w:t>–</w:t>
      </w:r>
      <w:r w:rsidR="00691D6E" w:rsidRPr="00691D6E">
        <w:rPr>
          <w:i/>
        </w:rPr>
        <w:t>teacher interaction</w:t>
      </w:r>
      <w:r w:rsidR="007D15AC" w:rsidRPr="00EF74B4">
        <w:t>,</w:t>
      </w:r>
      <w:r w:rsidR="00DC32A0" w:rsidRPr="00EF74B4">
        <w:t xml:space="preserve"> and c) </w:t>
      </w:r>
      <w:r w:rsidR="00691D6E" w:rsidRPr="00691D6E">
        <w:rPr>
          <w:i/>
        </w:rPr>
        <w:t>studying</w:t>
      </w:r>
      <w:r w:rsidR="007D15AC" w:rsidRPr="00EF74B4">
        <w:t>,</w:t>
      </w:r>
      <w:r w:rsidR="00DC32A0" w:rsidRPr="00EF74B4">
        <w:t xml:space="preserve"> according to the context in </w:t>
      </w:r>
      <w:r w:rsidR="007D15AC" w:rsidRPr="00EF74B4">
        <w:t xml:space="preserve">which </w:t>
      </w:r>
      <w:r w:rsidR="00DC32A0" w:rsidRPr="00EF74B4">
        <w:t xml:space="preserve">the positive and negative school experiences occurred. The category </w:t>
      </w:r>
      <w:r w:rsidR="00DC32A0" w:rsidRPr="00EF74B4">
        <w:rPr>
          <w:i/>
        </w:rPr>
        <w:t>peer interaction</w:t>
      </w:r>
      <w:r w:rsidR="00DC32A0" w:rsidRPr="00EF74B4">
        <w:t xml:space="preserve"> included descriptions of</w:t>
      </w:r>
      <w:r w:rsidR="009B658F" w:rsidRPr="00EF74B4">
        <w:t xml:space="preserve"> school experiences</w:t>
      </w:r>
      <w:r w:rsidR="00DC32A0" w:rsidRPr="00EF74B4">
        <w:t xml:space="preserve"> with peers in informal and formal situations during the school day.  In this category, the reported school experiences described the classroom </w:t>
      </w:r>
      <w:r w:rsidR="00BF0A9F" w:rsidRPr="00EF74B4">
        <w:t>climate</w:t>
      </w:r>
      <w:r w:rsidR="00DC32A0" w:rsidRPr="00EF74B4">
        <w:t>, and activities inside and outside of school</w:t>
      </w:r>
      <w:r w:rsidR="00DC32A0" w:rsidRPr="006D367C">
        <w:t xml:space="preserve">. </w:t>
      </w:r>
      <w:r w:rsidR="00C3644C" w:rsidRPr="006D367C">
        <w:t xml:space="preserve">For example, “A positive episode was when we, peers in the class had a good time together”.  </w:t>
      </w:r>
      <w:r w:rsidR="00DC32A0" w:rsidRPr="006D367C">
        <w:t xml:space="preserve">The category </w:t>
      </w:r>
      <w:r w:rsidR="00DC32A0" w:rsidRPr="006D367C">
        <w:rPr>
          <w:i/>
        </w:rPr>
        <w:t>student</w:t>
      </w:r>
      <w:r w:rsidR="00DC32A0" w:rsidRPr="006D367C">
        <w:rPr>
          <w:i/>
          <w:kern w:val="28"/>
        </w:rPr>
        <w:t>–</w:t>
      </w:r>
      <w:r w:rsidR="00DC32A0" w:rsidRPr="006D367C">
        <w:rPr>
          <w:i/>
        </w:rPr>
        <w:t>teacher</w:t>
      </w:r>
      <w:r w:rsidR="001B4172" w:rsidRPr="006D367C">
        <w:rPr>
          <w:i/>
        </w:rPr>
        <w:t xml:space="preserve"> interaction </w:t>
      </w:r>
      <w:r w:rsidR="00DC32A0" w:rsidRPr="006D367C">
        <w:t>included the character</w:t>
      </w:r>
      <w:r w:rsidR="00C874FB" w:rsidRPr="006D367C">
        <w:t>istics of the teacher and</w:t>
      </w:r>
      <w:r w:rsidR="00DC32A0" w:rsidRPr="006D367C">
        <w:t xml:space="preserve"> the quality </w:t>
      </w:r>
      <w:r w:rsidR="007D15AC" w:rsidRPr="006D367C">
        <w:t xml:space="preserve">of </w:t>
      </w:r>
      <w:r w:rsidR="00DC32A0" w:rsidRPr="006D367C">
        <w:t xml:space="preserve">social interaction, such as equality and </w:t>
      </w:r>
      <w:r w:rsidR="00545710" w:rsidRPr="006D367C">
        <w:t>feedback</w:t>
      </w:r>
      <w:r w:rsidR="00DC32A0" w:rsidRPr="00EF74B4">
        <w:t xml:space="preserve"> in teacher-student interaction. </w:t>
      </w:r>
      <w:r w:rsidR="00C05065">
        <w:t>T</w:t>
      </w:r>
      <w:r w:rsidR="00DC32A0" w:rsidRPr="00EF74B4">
        <w:t xml:space="preserve">he </w:t>
      </w:r>
      <w:r w:rsidR="00DC32A0" w:rsidRPr="00EF74B4">
        <w:rPr>
          <w:i/>
        </w:rPr>
        <w:t>studying</w:t>
      </w:r>
      <w:r w:rsidR="00DC32A0" w:rsidRPr="00EF74B4">
        <w:t xml:space="preserve"> category</w:t>
      </w:r>
      <w:r w:rsidR="006F5645" w:rsidRPr="00EF74B4">
        <w:t xml:space="preserve">, </w:t>
      </w:r>
      <w:r w:rsidR="007D6C9E">
        <w:t>involved</w:t>
      </w:r>
      <w:r w:rsidR="00545710">
        <w:t xml:space="preserve"> students</w:t>
      </w:r>
      <w:r w:rsidR="007D6C9E">
        <w:t>’</w:t>
      </w:r>
      <w:r w:rsidR="00545710">
        <w:t xml:space="preserve"> descriptions of academic activities, their </w:t>
      </w:r>
      <w:r w:rsidR="00DC32A0" w:rsidRPr="00EF74B4">
        <w:t>evaluations</w:t>
      </w:r>
      <w:r w:rsidR="009B658F" w:rsidRPr="00EF74B4">
        <w:t xml:space="preserve"> </w:t>
      </w:r>
      <w:r w:rsidR="00545710">
        <w:t>on</w:t>
      </w:r>
      <w:r w:rsidR="00DC32A0" w:rsidRPr="00EF74B4">
        <w:t xml:space="preserve"> the</w:t>
      </w:r>
      <w:r w:rsidR="007D15AC" w:rsidRPr="00EF74B4">
        <w:t>ir</w:t>
      </w:r>
      <w:r w:rsidR="00DC32A0" w:rsidRPr="00EF74B4">
        <w:t xml:space="preserve"> success in studying</w:t>
      </w:r>
      <w:r w:rsidR="007D15AC" w:rsidRPr="00EF74B4">
        <w:t>,</w:t>
      </w:r>
      <w:r w:rsidR="00DC32A0" w:rsidRPr="00EF74B4">
        <w:t xml:space="preserve"> and </w:t>
      </w:r>
      <w:r w:rsidR="007D6C9E">
        <w:t xml:space="preserve">their </w:t>
      </w:r>
      <w:r w:rsidR="00DC32A0" w:rsidRPr="00EF74B4">
        <w:t>adapt</w:t>
      </w:r>
      <w:r w:rsidR="00E274F4">
        <w:t>at</w:t>
      </w:r>
      <w:r w:rsidR="00DC32A0" w:rsidRPr="00EF74B4">
        <w:t>i</w:t>
      </w:r>
      <w:r w:rsidR="00545710">
        <w:t>on</w:t>
      </w:r>
      <w:r w:rsidR="00DC32A0" w:rsidRPr="00EF74B4">
        <w:t xml:space="preserve"> to the</w:t>
      </w:r>
      <w:r w:rsidR="00EE6B17" w:rsidRPr="00EF74B4">
        <w:t xml:space="preserve"> </w:t>
      </w:r>
      <w:r w:rsidR="00DC32A0" w:rsidRPr="00EF74B4">
        <w:t>pedagogical practices in various subjects w</w:t>
      </w:r>
      <w:r w:rsidR="007D15AC" w:rsidRPr="00EF74B4">
        <w:t>as</w:t>
      </w:r>
      <w:r w:rsidR="00DC32A0" w:rsidRPr="00EF74B4">
        <w:t xml:space="preserve"> reported</w:t>
      </w:r>
      <w:r w:rsidR="007D15AC" w:rsidRPr="00EF74B4">
        <w:t>,</w:t>
      </w:r>
      <w:r w:rsidR="00DC32A0" w:rsidRPr="00EF74B4">
        <w:t xml:space="preserve"> </w:t>
      </w:r>
      <w:r w:rsidR="007D15AC" w:rsidRPr="00EF74B4">
        <w:t>including</w:t>
      </w:r>
      <w:r w:rsidR="00DC32A0" w:rsidRPr="00EF74B4">
        <w:t xml:space="preserve"> credits and doing homework. </w:t>
      </w:r>
      <w:r w:rsidR="00545710" w:rsidRPr="006D367C">
        <w:t xml:space="preserve">Researcher </w:t>
      </w:r>
      <w:r w:rsidR="00EF74B4" w:rsidRPr="006D367C">
        <w:t xml:space="preserve">triangulation </w:t>
      </w:r>
      <w:r w:rsidR="00545710" w:rsidRPr="006D367C">
        <w:t xml:space="preserve">was used in confirming the findings </w:t>
      </w:r>
      <w:r w:rsidR="00EF74B4" w:rsidRPr="006D367C">
        <w:t xml:space="preserve">i.e., the first author discussed every step of this research with the three other authors </w:t>
      </w:r>
      <w:r w:rsidR="00EF74B4" w:rsidRPr="006D367C">
        <w:rPr>
          <w:rFonts w:eastAsia="Times New Roman"/>
          <w:lang w:eastAsia="en-GB"/>
        </w:rPr>
        <w:t>(</w:t>
      </w:r>
      <w:r w:rsidR="0075232E" w:rsidRPr="006D367C">
        <w:rPr>
          <w:rFonts w:eastAsia="Times New Roman"/>
          <w:lang w:eastAsia="en-GB"/>
        </w:rPr>
        <w:t xml:space="preserve">Cohen </w:t>
      </w:r>
      <w:r w:rsidR="00EF74B4" w:rsidRPr="006D367C">
        <w:rPr>
          <w:rFonts w:eastAsia="Times New Roman"/>
          <w:lang w:eastAsia="en-GB"/>
        </w:rPr>
        <w:t>&amp;</w:t>
      </w:r>
      <w:r w:rsidR="0075232E" w:rsidRPr="006D367C">
        <w:rPr>
          <w:rFonts w:eastAsia="Times New Roman"/>
          <w:lang w:eastAsia="en-GB"/>
        </w:rPr>
        <w:t xml:space="preserve"> Manion</w:t>
      </w:r>
      <w:r w:rsidR="00EF74B4" w:rsidRPr="006D367C">
        <w:rPr>
          <w:rFonts w:eastAsia="Times New Roman"/>
          <w:lang w:eastAsia="en-GB"/>
        </w:rPr>
        <w:t>, 1990).</w:t>
      </w:r>
      <w:r w:rsidR="00EF74B4">
        <w:rPr>
          <w:rFonts w:eastAsia="Times New Roman"/>
          <w:lang w:eastAsia="en-GB"/>
        </w:rPr>
        <w:t xml:space="preserve"> </w:t>
      </w:r>
    </w:p>
    <w:p w14:paraId="58D931BC" w14:textId="77777777" w:rsidR="00997091" w:rsidRDefault="00DC32A0" w:rsidP="00997091">
      <w:r w:rsidRPr="004D427B">
        <w:t>Finally,</w:t>
      </w:r>
      <w:r w:rsidR="00C05065">
        <w:t xml:space="preserve"> at</w:t>
      </w:r>
      <w:r w:rsidRPr="004D427B">
        <w:t xml:space="preserve"> </w:t>
      </w:r>
      <w:r w:rsidR="00B05846" w:rsidRPr="004D427B">
        <w:t>the</w:t>
      </w:r>
      <w:r w:rsidR="00C05065">
        <w:t xml:space="preserve"> third phase the</w:t>
      </w:r>
      <w:r w:rsidR="00B05846" w:rsidRPr="004D427B">
        <w:t xml:space="preserve"> </w:t>
      </w:r>
      <w:r w:rsidR="00710EF5" w:rsidRPr="004D427B">
        <w:t>context and student group</w:t>
      </w:r>
      <w:r w:rsidR="007D15AC" w:rsidRPr="004D427B">
        <w:t>-</w:t>
      </w:r>
      <w:r w:rsidR="00710EF5" w:rsidRPr="004D427B">
        <w:t xml:space="preserve">specific differences </w:t>
      </w:r>
      <w:r w:rsidR="00CB49BB" w:rsidRPr="004D427B">
        <w:t xml:space="preserve">were identified </w:t>
      </w:r>
      <w:r w:rsidR="00B05846" w:rsidRPr="004D427B">
        <w:t>by ana</w:t>
      </w:r>
      <w:r w:rsidR="008D75C5" w:rsidRPr="004D427B">
        <w:t xml:space="preserve">lyzing </w:t>
      </w:r>
      <w:r w:rsidR="007D15AC" w:rsidRPr="004D427B">
        <w:t xml:space="preserve">and comparing </w:t>
      </w:r>
      <w:r w:rsidR="008D75C5" w:rsidRPr="004D427B">
        <w:t xml:space="preserve">the occurrences of </w:t>
      </w:r>
      <w:r w:rsidR="003A75B2">
        <w:t>positive</w:t>
      </w:r>
      <w:r w:rsidR="00545710">
        <w:t xml:space="preserve"> engaging and </w:t>
      </w:r>
      <w:r w:rsidR="003A75B2">
        <w:t xml:space="preserve">negative </w:t>
      </w:r>
      <w:r w:rsidR="00545710">
        <w:t>disengaging</w:t>
      </w:r>
      <w:r w:rsidR="00710EF5" w:rsidRPr="004D427B">
        <w:t xml:space="preserve"> school experience</w:t>
      </w:r>
      <w:r w:rsidR="008D75C5" w:rsidRPr="004D427B">
        <w:t xml:space="preserve">s </w:t>
      </w:r>
      <w:r w:rsidR="007D15AC" w:rsidRPr="004D427B">
        <w:t xml:space="preserve">for </w:t>
      </w:r>
      <w:r w:rsidR="00166477" w:rsidRPr="004D427B">
        <w:t>students with s</w:t>
      </w:r>
      <w:r w:rsidR="00B05846" w:rsidRPr="004D427B">
        <w:t xml:space="preserve">pecial </w:t>
      </w:r>
      <w:r w:rsidR="00166477" w:rsidRPr="004D427B">
        <w:t xml:space="preserve">needs </w:t>
      </w:r>
      <w:r w:rsidR="00B05846" w:rsidRPr="004D427B">
        <w:t xml:space="preserve">and </w:t>
      </w:r>
      <w:r w:rsidR="00166477" w:rsidRPr="004D427B">
        <w:t xml:space="preserve">students attending </w:t>
      </w:r>
      <w:r w:rsidR="00B05846" w:rsidRPr="004D427B">
        <w:t>general education</w:t>
      </w:r>
      <w:r w:rsidR="00600882" w:rsidRPr="004D427B">
        <w:t xml:space="preserve">. </w:t>
      </w:r>
      <w:r w:rsidR="00C874FB" w:rsidRPr="00D93E1E">
        <w:t>A</w:t>
      </w:r>
      <w:r w:rsidR="009852D7" w:rsidRPr="00D93E1E">
        <w:t xml:space="preserve"> </w:t>
      </w:r>
      <w:r w:rsidRPr="00D93E1E">
        <w:t xml:space="preserve">chi-square test was carried out to </w:t>
      </w:r>
      <w:r w:rsidR="009852D7" w:rsidRPr="00D93E1E">
        <w:t>exp</w:t>
      </w:r>
      <w:r w:rsidRPr="00D93E1E">
        <w:t xml:space="preserve">lore the </w:t>
      </w:r>
      <w:r w:rsidR="00CB49BB" w:rsidRPr="00D93E1E">
        <w:t>frequencies produced by content analysis</w:t>
      </w:r>
      <w:r w:rsidR="009852D7" w:rsidRPr="00D93E1E">
        <w:t>,</w:t>
      </w:r>
      <w:r w:rsidR="00CB49BB" w:rsidRPr="00D93E1E">
        <w:t xml:space="preserve"> </w:t>
      </w:r>
      <w:r w:rsidR="009D4419" w:rsidRPr="00D93E1E">
        <w:t xml:space="preserve">i.e., to explore the relations between the student experiences and student groups (regular/special educational).The statistical relationship between context and group specificity of these critical incidents of school engagement was measured with the </w:t>
      </w:r>
      <w:r w:rsidR="00D918C3" w:rsidRPr="00D93E1E">
        <w:t xml:space="preserve">         </w:t>
      </w:r>
      <w:r w:rsidR="009D4419" w:rsidRPr="00D93E1E">
        <w:t xml:space="preserve">    chi-square test</w:t>
      </w:r>
      <w:r w:rsidR="006440D0" w:rsidRPr="00D93E1E">
        <w:t xml:space="preserve"> (significance level of </w:t>
      </w:r>
      <w:r w:rsidR="006440D0" w:rsidRPr="00D93E1E">
        <w:rPr>
          <w:i/>
        </w:rPr>
        <w:t>p</w:t>
      </w:r>
      <w:r w:rsidR="006440D0" w:rsidRPr="00D93E1E">
        <w:t>&lt;0.05).</w:t>
      </w:r>
      <w:r w:rsidR="009D4419" w:rsidRPr="00D93E1E">
        <w:t xml:space="preserve"> The chi-square test was used, because of the </w:t>
      </w:r>
    </w:p>
    <w:p w14:paraId="1F55CD4B" w14:textId="77777777" w:rsidR="00FB091E" w:rsidRDefault="009D4419" w:rsidP="00997091">
      <w:pPr>
        <w:ind w:firstLine="0"/>
      </w:pPr>
      <w:r w:rsidRPr="00D93E1E">
        <w:lastRenderedPageBreak/>
        <w:t xml:space="preserve">small sample size (n=119 students). </w:t>
      </w:r>
      <w:r w:rsidR="00D918C3" w:rsidRPr="00D93E1E">
        <w:t xml:space="preserve">The data used for the chi-square were in </w:t>
      </w:r>
      <w:r w:rsidR="00E274F4" w:rsidRPr="00D93E1E">
        <w:t>t</w:t>
      </w:r>
      <w:r w:rsidR="00D918C3" w:rsidRPr="00D93E1E">
        <w:t>he form of frequencies. A hypothesis involving more than one set of data can be tested for significance (Guilford &amp; Fruchter, 1985).</w:t>
      </w:r>
      <w:r>
        <w:t xml:space="preserve"> </w:t>
      </w:r>
    </w:p>
    <w:p w14:paraId="39B1817A" w14:textId="77777777" w:rsidR="00997091" w:rsidRPr="006440D0" w:rsidRDefault="00997091" w:rsidP="00997091">
      <w:pPr>
        <w:rPr>
          <w:b/>
        </w:rPr>
      </w:pPr>
    </w:p>
    <w:p w14:paraId="69C0E6E1" w14:textId="77777777" w:rsidR="00FB091E" w:rsidRDefault="009D2028" w:rsidP="00997091">
      <w:pPr>
        <w:ind w:firstLine="0"/>
        <w:jc w:val="center"/>
        <w:rPr>
          <w:b/>
        </w:rPr>
      </w:pPr>
      <w:r w:rsidRPr="00C173BB">
        <w:rPr>
          <w:b/>
        </w:rPr>
        <w:t>Results</w:t>
      </w:r>
    </w:p>
    <w:p w14:paraId="28664378" w14:textId="77777777" w:rsidR="00997091" w:rsidRDefault="00997091" w:rsidP="00997091">
      <w:pPr>
        <w:ind w:firstLine="0"/>
        <w:jc w:val="center"/>
        <w:rPr>
          <w:b/>
        </w:rPr>
      </w:pPr>
    </w:p>
    <w:p w14:paraId="7637247D" w14:textId="77777777" w:rsidR="00FB091E" w:rsidRDefault="009D2028" w:rsidP="00FB091E">
      <w:pPr>
        <w:spacing w:line="360" w:lineRule="auto"/>
        <w:ind w:firstLine="0"/>
        <w:rPr>
          <w:b/>
        </w:rPr>
      </w:pPr>
      <w:r w:rsidRPr="007F68D7">
        <w:rPr>
          <w:b/>
        </w:rPr>
        <w:t xml:space="preserve">The </w:t>
      </w:r>
      <w:r w:rsidR="00997091">
        <w:rPr>
          <w:b/>
        </w:rPr>
        <w:t>T</w:t>
      </w:r>
      <w:r w:rsidR="002C741D" w:rsidRPr="007F68D7">
        <w:rPr>
          <w:b/>
        </w:rPr>
        <w:t xml:space="preserve">rends </w:t>
      </w:r>
      <w:r w:rsidR="00997091">
        <w:rPr>
          <w:b/>
        </w:rPr>
        <w:t>of S</w:t>
      </w:r>
      <w:r w:rsidRPr="007F68D7">
        <w:rPr>
          <w:b/>
        </w:rPr>
        <w:t>i</w:t>
      </w:r>
      <w:r w:rsidR="00997091">
        <w:rPr>
          <w:b/>
        </w:rPr>
        <w:t>gnificant School E</w:t>
      </w:r>
      <w:r w:rsidRPr="007F68D7">
        <w:rPr>
          <w:b/>
        </w:rPr>
        <w:t>xperiences</w:t>
      </w:r>
      <w:r w:rsidR="00997091">
        <w:rPr>
          <w:b/>
        </w:rPr>
        <w:t xml:space="preserve"> D</w:t>
      </w:r>
      <w:r w:rsidR="00895B2E" w:rsidRPr="007F68D7">
        <w:rPr>
          <w:b/>
        </w:rPr>
        <w:t xml:space="preserve">uring </w:t>
      </w:r>
      <w:r w:rsidR="00997091">
        <w:rPr>
          <w:b/>
        </w:rPr>
        <w:t>Primary Sc</w:t>
      </w:r>
      <w:r w:rsidR="002C741D" w:rsidRPr="007F68D7">
        <w:rPr>
          <w:b/>
        </w:rPr>
        <w:t>hool</w:t>
      </w:r>
    </w:p>
    <w:p w14:paraId="3C7FBDB5" w14:textId="77777777" w:rsidR="00FB091E" w:rsidRDefault="009D2028" w:rsidP="00FB091E">
      <w:pPr>
        <w:spacing w:line="360" w:lineRule="auto"/>
      </w:pPr>
      <w:r w:rsidRPr="004D427B">
        <w:t>The results suggested that the critical incidents of school engagement reported by the students occurred throughout</w:t>
      </w:r>
      <w:r w:rsidR="008E77E0" w:rsidRPr="004D427B">
        <w:t xml:space="preserve"> </w:t>
      </w:r>
      <w:r w:rsidRPr="004D427B">
        <w:t>their school career</w:t>
      </w:r>
      <w:r w:rsidR="006812D4" w:rsidRPr="004D427B">
        <w:t xml:space="preserve"> </w:t>
      </w:r>
      <w:r w:rsidR="007D15AC" w:rsidRPr="004D427B">
        <w:t>at</w:t>
      </w:r>
      <w:r w:rsidR="00693B27" w:rsidRPr="004D427B">
        <w:t xml:space="preserve"> </w:t>
      </w:r>
      <w:r w:rsidR="006812D4" w:rsidRPr="004D427B">
        <w:t>primary school (</w:t>
      </w:r>
      <w:r w:rsidR="006812D4" w:rsidRPr="006D367C">
        <w:t xml:space="preserve">see </w:t>
      </w:r>
      <w:r w:rsidR="003F25D0" w:rsidRPr="006D367C">
        <w:t xml:space="preserve">Figure </w:t>
      </w:r>
      <w:r w:rsidR="006812D4" w:rsidRPr="006D367C">
        <w:t>1)</w:t>
      </w:r>
      <w:r w:rsidRPr="006D367C">
        <w:t>.</w:t>
      </w:r>
    </w:p>
    <w:p w14:paraId="0B9D8A9F" w14:textId="77777777" w:rsidR="00997091" w:rsidRDefault="00997091" w:rsidP="00FB091E">
      <w:pPr>
        <w:spacing w:line="360" w:lineRule="auto"/>
      </w:pPr>
    </w:p>
    <w:p w14:paraId="35DB9C47" w14:textId="77777777" w:rsidR="00055306" w:rsidRDefault="00055306" w:rsidP="00055306">
      <w:pPr>
        <w:rPr>
          <w:szCs w:val="24"/>
        </w:rPr>
      </w:pPr>
    </w:p>
    <w:p w14:paraId="45071135" w14:textId="77777777" w:rsidR="00F600D1" w:rsidRDefault="00F600D1"/>
    <w:p w14:paraId="3B2BE7AF" w14:textId="77777777" w:rsidR="00B17662" w:rsidRDefault="00516D42">
      <w:pPr>
        <w:spacing w:line="360" w:lineRule="auto"/>
        <w:rPr>
          <w:i/>
          <w:szCs w:val="24"/>
          <w:highlight w:val="yellow"/>
          <w:lang w:val="en-GB"/>
        </w:rPr>
      </w:pPr>
      <w:r w:rsidRPr="00516D42">
        <w:rPr>
          <w:i/>
          <w:noProof/>
          <w:szCs w:val="24"/>
          <w:lang w:val="en-AU" w:eastAsia="en-AU"/>
        </w:rPr>
        <w:drawing>
          <wp:inline distT="0" distB="0" distL="0" distR="0" wp14:anchorId="731760A1" wp14:editId="62E2E304">
            <wp:extent cx="4572000" cy="27432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63FEB7" w14:textId="77777777" w:rsidR="002445C6" w:rsidRDefault="0074395B" w:rsidP="00997091">
      <w:pPr>
        <w:ind w:left="630" w:right="926" w:firstLine="27"/>
      </w:pPr>
      <w:r w:rsidRPr="004F1965">
        <w:rPr>
          <w:b/>
          <w:i/>
        </w:rPr>
        <w:t>Figure 1</w:t>
      </w:r>
      <w:r w:rsidRPr="006D367C">
        <w:rPr>
          <w:i/>
        </w:rPr>
        <w:t>.</w:t>
      </w:r>
      <w:r w:rsidRPr="006D367C">
        <w:t xml:space="preserve"> </w:t>
      </w:r>
      <w:r w:rsidR="00DB4BBF" w:rsidRPr="006D367C">
        <w:t>Frequencies</w:t>
      </w:r>
      <w:r w:rsidR="00516D42" w:rsidRPr="00516D42">
        <w:t xml:space="preserve"> of s</w:t>
      </w:r>
      <w:r w:rsidRPr="00516D42">
        <w:t>eventh graders’ significant positive and negative school experiences during their school career from first to</w:t>
      </w:r>
      <w:r w:rsidR="00516D42">
        <w:t xml:space="preserve"> sixth grade</w:t>
      </w:r>
    </w:p>
    <w:p w14:paraId="7D2F79A9" w14:textId="77777777" w:rsidR="000C0ED2" w:rsidRDefault="00997091" w:rsidP="007F68D7">
      <w:r>
        <w:br/>
      </w:r>
    </w:p>
    <w:p w14:paraId="215B37AA" w14:textId="77777777" w:rsidR="004F1965" w:rsidRPr="00516D42" w:rsidRDefault="004F1965" w:rsidP="00997091"/>
    <w:p w14:paraId="4373448E" w14:textId="77777777" w:rsidR="00FB091E" w:rsidRDefault="00C95645" w:rsidP="00997091">
      <w:pPr>
        <w:rPr>
          <w:i/>
          <w:highlight w:val="yellow"/>
        </w:rPr>
      </w:pPr>
      <w:r w:rsidRPr="004D427B">
        <w:t>The s</w:t>
      </w:r>
      <w:r w:rsidR="000A71D0" w:rsidRPr="004D427B">
        <w:t>tudents</w:t>
      </w:r>
      <w:r w:rsidRPr="004D427B">
        <w:t xml:space="preserve"> consistently reported</w:t>
      </w:r>
      <w:r w:rsidR="000A71D0" w:rsidRPr="004D427B">
        <w:t xml:space="preserve"> twice as </w:t>
      </w:r>
      <w:r w:rsidR="00D45327" w:rsidRPr="004D427B">
        <w:t xml:space="preserve">many </w:t>
      </w:r>
      <w:r w:rsidR="000A71D0" w:rsidRPr="004D427B">
        <w:t xml:space="preserve">positive </w:t>
      </w:r>
      <w:r w:rsidR="003A75B2">
        <w:t xml:space="preserve">engaging </w:t>
      </w:r>
      <w:r w:rsidR="00D45327" w:rsidRPr="004D427B">
        <w:t xml:space="preserve">as </w:t>
      </w:r>
      <w:r w:rsidR="000A71D0" w:rsidRPr="004D427B">
        <w:t>negative</w:t>
      </w:r>
      <w:r w:rsidR="003A75B2">
        <w:t xml:space="preserve"> disengaging</w:t>
      </w:r>
      <w:r w:rsidR="000A71D0" w:rsidRPr="004D427B">
        <w:t xml:space="preserve"> e</w:t>
      </w:r>
      <w:r w:rsidR="00CB3EB9">
        <w:t>xperiences</w:t>
      </w:r>
      <w:r w:rsidR="00D45327" w:rsidRPr="004D427B">
        <w:t>,</w:t>
      </w:r>
      <w:r w:rsidR="000A71D0" w:rsidRPr="004D427B">
        <w:t xml:space="preserve"> almost in each grade,</w:t>
      </w:r>
      <w:r w:rsidR="003E6C72" w:rsidRPr="004D427B">
        <w:t xml:space="preserve"> </w:t>
      </w:r>
      <w:r w:rsidR="000A71D0" w:rsidRPr="004D427B">
        <w:t>from the first to the sixth grade</w:t>
      </w:r>
      <w:r w:rsidR="00F92B9B" w:rsidRPr="004D427B">
        <w:t xml:space="preserve"> (see Figure 1)</w:t>
      </w:r>
      <w:r w:rsidR="000A71D0" w:rsidRPr="004D427B">
        <w:t>.</w:t>
      </w:r>
      <w:r w:rsidR="00C740B7" w:rsidRPr="004D427B">
        <w:t xml:space="preserve"> However, the pattern of negative school exper</w:t>
      </w:r>
      <w:r w:rsidRPr="004D427B">
        <w:t>iences increased only slightly toward the end of</w:t>
      </w:r>
      <w:r w:rsidR="00C740B7" w:rsidRPr="004D427B">
        <w:t xml:space="preserve"> primary school</w:t>
      </w:r>
      <w:r w:rsidRPr="004D427B">
        <w:t xml:space="preserve">, whereas </w:t>
      </w:r>
      <w:r w:rsidR="00D45327" w:rsidRPr="004D427B">
        <w:t xml:space="preserve">the </w:t>
      </w:r>
      <w:r w:rsidRPr="004D427B">
        <w:t>number of positive experiences peaked toward the end of primary school</w:t>
      </w:r>
      <w:r w:rsidR="00C740B7" w:rsidRPr="004D427B">
        <w:t xml:space="preserve">. </w:t>
      </w:r>
      <w:r w:rsidR="000A71D0" w:rsidRPr="004D427B">
        <w:t xml:space="preserve">The phase </w:t>
      </w:r>
      <w:r w:rsidR="000A71D0" w:rsidRPr="00ED0B29">
        <w:t xml:space="preserve">of entering </w:t>
      </w:r>
      <w:r w:rsidR="006E7EA2" w:rsidRPr="00ED0B29">
        <w:t xml:space="preserve">the school (grade 1) and the </w:t>
      </w:r>
      <w:r w:rsidR="000A71D0" w:rsidRPr="00ED0B29">
        <w:t xml:space="preserve">phase of transferring to secondary school </w:t>
      </w:r>
      <w:r w:rsidR="006D36A5" w:rsidRPr="00ED0B29">
        <w:t xml:space="preserve">(grade 6) </w:t>
      </w:r>
      <w:r w:rsidRPr="00ED0B29">
        <w:t>seemed to be central in terms</w:t>
      </w:r>
      <w:r w:rsidRPr="004D427B">
        <w:t xml:space="preserve"> of </w:t>
      </w:r>
      <w:r w:rsidR="000A71D0" w:rsidRPr="004D427B">
        <w:t xml:space="preserve">school </w:t>
      </w:r>
      <w:r w:rsidRPr="004D427B">
        <w:t xml:space="preserve">engagement. </w:t>
      </w:r>
    </w:p>
    <w:p w14:paraId="3819E696" w14:textId="77777777" w:rsidR="00FB091E" w:rsidRDefault="00FB091E" w:rsidP="00997091">
      <w:pPr>
        <w:rPr>
          <w:i/>
          <w:szCs w:val="24"/>
        </w:rPr>
      </w:pPr>
    </w:p>
    <w:p w14:paraId="54AFCAA7" w14:textId="77777777" w:rsidR="00FB091E" w:rsidRDefault="005B2E2E" w:rsidP="00997091">
      <w:pPr>
        <w:ind w:firstLine="0"/>
        <w:rPr>
          <w:b/>
        </w:rPr>
      </w:pPr>
      <w:r w:rsidRPr="007F68D7">
        <w:rPr>
          <w:b/>
        </w:rPr>
        <w:t xml:space="preserve">The </w:t>
      </w:r>
      <w:r w:rsidR="00997091">
        <w:rPr>
          <w:b/>
        </w:rPr>
        <w:t>T</w:t>
      </w:r>
      <w:r w:rsidR="00102B8F" w:rsidRPr="007F68D7">
        <w:rPr>
          <w:b/>
        </w:rPr>
        <w:t xml:space="preserve">rends of </w:t>
      </w:r>
      <w:r w:rsidR="00997091">
        <w:rPr>
          <w:b/>
        </w:rPr>
        <w:t>Significant School Experiences Among S</w:t>
      </w:r>
      <w:r w:rsidR="009D2028" w:rsidRPr="007F68D7">
        <w:rPr>
          <w:b/>
        </w:rPr>
        <w:t xml:space="preserve">tudents with </w:t>
      </w:r>
      <w:r w:rsidR="00997091">
        <w:rPr>
          <w:b/>
        </w:rPr>
        <w:t>Special N</w:t>
      </w:r>
      <w:r w:rsidR="00501AC6" w:rsidRPr="007F68D7">
        <w:rPr>
          <w:b/>
        </w:rPr>
        <w:t>eeds</w:t>
      </w:r>
      <w:r w:rsidR="009D2028" w:rsidRPr="007F68D7">
        <w:rPr>
          <w:b/>
        </w:rPr>
        <w:t xml:space="preserve"> and </w:t>
      </w:r>
      <w:r w:rsidR="00997091">
        <w:rPr>
          <w:b/>
        </w:rPr>
        <w:t>General E</w:t>
      </w:r>
      <w:r w:rsidR="001F1A4B" w:rsidRPr="007F68D7">
        <w:rPr>
          <w:b/>
        </w:rPr>
        <w:t xml:space="preserve">ducation </w:t>
      </w:r>
      <w:r w:rsidR="00997091">
        <w:rPr>
          <w:b/>
        </w:rPr>
        <w:t>S</w:t>
      </w:r>
      <w:r w:rsidR="00102B8F" w:rsidRPr="007F68D7">
        <w:rPr>
          <w:b/>
        </w:rPr>
        <w:t>tudents</w:t>
      </w:r>
    </w:p>
    <w:p w14:paraId="76FE516A" w14:textId="77777777" w:rsidR="00FB091E" w:rsidRDefault="00FB091E" w:rsidP="00997091">
      <w:pPr>
        <w:ind w:firstLine="0"/>
        <w:rPr>
          <w:b/>
        </w:rPr>
      </w:pPr>
    </w:p>
    <w:p w14:paraId="15864D2A" w14:textId="77777777" w:rsidR="00997091" w:rsidRDefault="009D2028" w:rsidP="00997091">
      <w:pPr>
        <w:rPr>
          <w:szCs w:val="24"/>
        </w:rPr>
      </w:pPr>
      <w:r w:rsidRPr="004D427B">
        <w:rPr>
          <w:szCs w:val="24"/>
        </w:rPr>
        <w:t xml:space="preserve">Further investigation showed that the critical incidents of school engagement reported by both students with special </w:t>
      </w:r>
      <w:r w:rsidR="001F1A4B" w:rsidRPr="004D427B">
        <w:rPr>
          <w:szCs w:val="24"/>
        </w:rPr>
        <w:t>needs</w:t>
      </w:r>
      <w:r w:rsidRPr="004D427B">
        <w:rPr>
          <w:szCs w:val="24"/>
        </w:rPr>
        <w:t xml:space="preserve"> and </w:t>
      </w:r>
      <w:r w:rsidR="001F1A4B" w:rsidRPr="004D427B">
        <w:rPr>
          <w:szCs w:val="24"/>
        </w:rPr>
        <w:t xml:space="preserve">general education </w:t>
      </w:r>
      <w:r w:rsidRPr="004D427B">
        <w:rPr>
          <w:szCs w:val="24"/>
        </w:rPr>
        <w:t xml:space="preserve">students </w:t>
      </w:r>
      <w:r w:rsidR="00D45327" w:rsidRPr="004D427B">
        <w:rPr>
          <w:szCs w:val="24"/>
        </w:rPr>
        <w:t xml:space="preserve">differed </w:t>
      </w:r>
      <w:r w:rsidR="00102B8F" w:rsidRPr="004D427B">
        <w:rPr>
          <w:szCs w:val="24"/>
        </w:rPr>
        <w:t>slightly t</w:t>
      </w:r>
      <w:r w:rsidRPr="004D427B">
        <w:rPr>
          <w:szCs w:val="24"/>
        </w:rPr>
        <w:t>hroughout the</w:t>
      </w:r>
      <w:r w:rsidR="00D45327" w:rsidRPr="004D427B">
        <w:rPr>
          <w:szCs w:val="24"/>
        </w:rPr>
        <w:t>ir</w:t>
      </w:r>
      <w:r w:rsidRPr="004D427B">
        <w:rPr>
          <w:szCs w:val="24"/>
        </w:rPr>
        <w:t xml:space="preserve"> school career</w:t>
      </w:r>
      <w:r w:rsidR="00465467" w:rsidRPr="004D427B">
        <w:rPr>
          <w:szCs w:val="24"/>
        </w:rPr>
        <w:t xml:space="preserve"> (see Figure 2</w:t>
      </w:r>
      <w:r w:rsidR="00465467" w:rsidRPr="006D367C">
        <w:rPr>
          <w:szCs w:val="24"/>
        </w:rPr>
        <w:t>)</w:t>
      </w:r>
      <w:r w:rsidR="006E7EA2" w:rsidRPr="006D367C">
        <w:rPr>
          <w:szCs w:val="24"/>
        </w:rPr>
        <w:t>.</w:t>
      </w:r>
      <w:r w:rsidR="002757FA">
        <w:rPr>
          <w:szCs w:val="24"/>
        </w:rPr>
        <w:t xml:space="preserve">               </w:t>
      </w:r>
    </w:p>
    <w:p w14:paraId="5C4B0F42" w14:textId="77777777" w:rsidR="00997091" w:rsidRDefault="00997091" w:rsidP="00997091">
      <w:pPr>
        <w:rPr>
          <w:szCs w:val="24"/>
        </w:rPr>
      </w:pPr>
    </w:p>
    <w:p w14:paraId="4695505C" w14:textId="77777777" w:rsidR="00997091" w:rsidRDefault="00997091" w:rsidP="00997091">
      <w:pPr>
        <w:rPr>
          <w:szCs w:val="24"/>
        </w:rPr>
      </w:pPr>
    </w:p>
    <w:p w14:paraId="6938BD26" w14:textId="20E00F0E" w:rsidR="00FB091E" w:rsidRDefault="001609CD" w:rsidP="00997091">
      <w:pPr>
        <w:rPr>
          <w:szCs w:val="24"/>
        </w:rPr>
      </w:pPr>
      <w:r>
        <w:rPr>
          <w:rFonts w:ascii="Calibri" w:eastAsia="Times New Roman" w:hAnsi="Calibri" w:cs="Times New Roman"/>
          <w:noProof/>
          <w:color w:val="000000"/>
          <w:lang w:val="en-AU" w:eastAsia="en-AU"/>
        </w:rPr>
        <w:lastRenderedPageBreak/>
        <w:drawing>
          <wp:anchor distT="0" distB="0" distL="114300" distR="114300" simplePos="0" relativeHeight="251667456" behindDoc="0" locked="0" layoutInCell="1" allowOverlap="1" wp14:anchorId="2ECD0C5F" wp14:editId="58F6CE0C">
            <wp:simplePos x="0" y="0"/>
            <wp:positionH relativeFrom="column">
              <wp:posOffset>516255</wp:posOffset>
            </wp:positionH>
            <wp:positionV relativeFrom="paragraph">
              <wp:posOffset>-3175</wp:posOffset>
            </wp:positionV>
            <wp:extent cx="5086350" cy="3057525"/>
            <wp:effectExtent l="0" t="0" r="635" b="635"/>
            <wp:wrapNone/>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2757FA">
        <w:rPr>
          <w:szCs w:val="24"/>
        </w:rPr>
        <w:t xml:space="preserve">                                                                        </w:t>
      </w:r>
      <w:r w:rsidR="002757FA">
        <w:rPr>
          <w:szCs w:val="24"/>
        </w:rPr>
        <w:tab/>
      </w:r>
    </w:p>
    <w:p w14:paraId="6BE56FC8" w14:textId="36C0E363" w:rsidR="00FF047E" w:rsidRDefault="00FF047E" w:rsidP="007F68D7">
      <w:pPr>
        <w:rPr>
          <w:b/>
          <w:i/>
        </w:rPr>
      </w:pPr>
    </w:p>
    <w:p w14:paraId="5BFE3D3F" w14:textId="256AD36E" w:rsidR="00FF047E" w:rsidRDefault="00FF047E" w:rsidP="007F68D7">
      <w:pPr>
        <w:rPr>
          <w:b/>
          <w:i/>
        </w:rPr>
      </w:pPr>
    </w:p>
    <w:p w14:paraId="6C7B6F61" w14:textId="6E006E3F" w:rsidR="001609CD" w:rsidRDefault="001609CD" w:rsidP="00997091">
      <w:pPr>
        <w:ind w:left="810" w:right="206" w:firstLine="0"/>
        <w:rPr>
          <w:b/>
          <w:i/>
        </w:rPr>
      </w:pPr>
    </w:p>
    <w:p w14:paraId="566CD745" w14:textId="77777777" w:rsidR="001609CD" w:rsidRDefault="001609CD" w:rsidP="00997091">
      <w:pPr>
        <w:ind w:left="810" w:right="206" w:firstLine="0"/>
        <w:rPr>
          <w:b/>
          <w:i/>
        </w:rPr>
      </w:pPr>
    </w:p>
    <w:p w14:paraId="288B55CC" w14:textId="7F3E2A83" w:rsidR="001609CD" w:rsidRDefault="001609CD" w:rsidP="00997091">
      <w:pPr>
        <w:ind w:left="810" w:right="206" w:firstLine="0"/>
        <w:rPr>
          <w:b/>
          <w:i/>
        </w:rPr>
      </w:pPr>
    </w:p>
    <w:p w14:paraId="046743E3" w14:textId="77777777" w:rsidR="001609CD" w:rsidRDefault="001609CD" w:rsidP="00997091">
      <w:pPr>
        <w:ind w:left="810" w:right="206" w:firstLine="0"/>
        <w:rPr>
          <w:b/>
          <w:i/>
        </w:rPr>
      </w:pPr>
    </w:p>
    <w:p w14:paraId="08A4079A" w14:textId="77777777" w:rsidR="001609CD" w:rsidRDefault="001609CD" w:rsidP="00997091">
      <w:pPr>
        <w:ind w:left="810" w:right="206" w:firstLine="0"/>
        <w:rPr>
          <w:b/>
          <w:i/>
        </w:rPr>
      </w:pPr>
    </w:p>
    <w:p w14:paraId="17C451E6" w14:textId="77777777" w:rsidR="001609CD" w:rsidRDefault="001609CD" w:rsidP="00997091">
      <w:pPr>
        <w:ind w:left="810" w:right="206" w:firstLine="0"/>
        <w:rPr>
          <w:b/>
          <w:i/>
        </w:rPr>
      </w:pPr>
    </w:p>
    <w:p w14:paraId="6186ABCF" w14:textId="6406AD1D" w:rsidR="001609CD" w:rsidRDefault="001609CD" w:rsidP="00997091">
      <w:pPr>
        <w:ind w:left="810" w:right="206" w:firstLine="0"/>
        <w:rPr>
          <w:b/>
          <w:i/>
        </w:rPr>
      </w:pPr>
    </w:p>
    <w:p w14:paraId="067A1A71" w14:textId="77777777" w:rsidR="001609CD" w:rsidRDefault="001609CD" w:rsidP="00997091">
      <w:pPr>
        <w:ind w:left="810" w:right="206" w:firstLine="0"/>
        <w:rPr>
          <w:b/>
          <w:i/>
        </w:rPr>
      </w:pPr>
    </w:p>
    <w:p w14:paraId="1555064B" w14:textId="77777777" w:rsidR="001609CD" w:rsidRDefault="001609CD" w:rsidP="00997091">
      <w:pPr>
        <w:ind w:left="810" w:right="206" w:firstLine="0"/>
        <w:rPr>
          <w:b/>
          <w:i/>
        </w:rPr>
      </w:pPr>
    </w:p>
    <w:p w14:paraId="79DF2949" w14:textId="77777777" w:rsidR="001609CD" w:rsidRDefault="001609CD" w:rsidP="00997091">
      <w:pPr>
        <w:ind w:left="810" w:right="206" w:firstLine="0"/>
        <w:rPr>
          <w:b/>
          <w:i/>
        </w:rPr>
      </w:pPr>
    </w:p>
    <w:p w14:paraId="013FBEA6" w14:textId="77777777" w:rsidR="001609CD" w:rsidRDefault="001609CD" w:rsidP="00997091">
      <w:pPr>
        <w:ind w:left="810" w:right="206" w:firstLine="0"/>
        <w:rPr>
          <w:b/>
          <w:i/>
        </w:rPr>
      </w:pPr>
    </w:p>
    <w:p w14:paraId="058193CA" w14:textId="77777777" w:rsidR="001609CD" w:rsidRDefault="001609CD" w:rsidP="00997091">
      <w:pPr>
        <w:ind w:left="810" w:right="206" w:firstLine="0"/>
        <w:rPr>
          <w:b/>
          <w:i/>
        </w:rPr>
      </w:pPr>
    </w:p>
    <w:p w14:paraId="0FA79B4C" w14:textId="77777777" w:rsidR="001609CD" w:rsidRDefault="001609CD" w:rsidP="00997091">
      <w:pPr>
        <w:ind w:left="810" w:right="206" w:firstLine="0"/>
        <w:rPr>
          <w:b/>
          <w:i/>
        </w:rPr>
      </w:pPr>
    </w:p>
    <w:p w14:paraId="2BFD6B68" w14:textId="77777777" w:rsidR="001609CD" w:rsidRDefault="001609CD" w:rsidP="00997091">
      <w:pPr>
        <w:ind w:left="810" w:right="206" w:firstLine="0"/>
        <w:rPr>
          <w:b/>
          <w:i/>
        </w:rPr>
      </w:pPr>
    </w:p>
    <w:p w14:paraId="340E427C" w14:textId="77777777" w:rsidR="001609CD" w:rsidRDefault="001609CD" w:rsidP="00997091">
      <w:pPr>
        <w:ind w:left="810" w:right="206" w:firstLine="0"/>
        <w:rPr>
          <w:b/>
          <w:i/>
        </w:rPr>
      </w:pPr>
    </w:p>
    <w:p w14:paraId="438081D0" w14:textId="241B4705" w:rsidR="00FB091E" w:rsidRDefault="00053D1D" w:rsidP="00997091">
      <w:pPr>
        <w:ind w:left="810" w:right="206" w:firstLine="0"/>
      </w:pPr>
      <w:r w:rsidRPr="00B23739">
        <w:rPr>
          <w:b/>
          <w:i/>
        </w:rPr>
        <w:t>Figure 2</w:t>
      </w:r>
      <w:r w:rsidRPr="00B23739">
        <w:rPr>
          <w:i/>
        </w:rPr>
        <w:t>.</w:t>
      </w:r>
      <w:r w:rsidRPr="00B23739">
        <w:t xml:space="preserve"> </w:t>
      </w:r>
      <w:r w:rsidR="00DB4BBF" w:rsidRPr="006D367C">
        <w:t>Frequencies</w:t>
      </w:r>
      <w:r w:rsidRPr="006D367C">
        <w:t xml:space="preserve"> o</w:t>
      </w:r>
      <w:r w:rsidRPr="00B23739">
        <w:t xml:space="preserve">f significant positive and negative school experiences among students with special needs and general education students, from first to sixth grade. </w:t>
      </w:r>
    </w:p>
    <w:p w14:paraId="3400DFEE" w14:textId="77777777" w:rsidR="00FB091E" w:rsidRDefault="00FB091E" w:rsidP="00FB091E">
      <w:pPr>
        <w:spacing w:line="360" w:lineRule="auto"/>
      </w:pPr>
    </w:p>
    <w:p w14:paraId="209B7F5C" w14:textId="77777777" w:rsidR="00FB091E" w:rsidRDefault="005868DF" w:rsidP="00997091">
      <w:r w:rsidRPr="004D427B">
        <w:t>T</w:t>
      </w:r>
      <w:r w:rsidR="00DD7C6E" w:rsidRPr="004D427B">
        <w:t>he r</w:t>
      </w:r>
      <w:r w:rsidR="00B22AA1" w:rsidRPr="004D427B">
        <w:t>esults showed that for all students</w:t>
      </w:r>
      <w:r w:rsidR="00D45327" w:rsidRPr="004D427B">
        <w:t>,</w:t>
      </w:r>
      <w:r w:rsidR="00BA5D2E" w:rsidRPr="004D427B">
        <w:t xml:space="preserve"> the forthcoming transition to secondary sc</w:t>
      </w:r>
      <w:r w:rsidR="00D22EE2" w:rsidRPr="004D427B">
        <w:t xml:space="preserve">hool </w:t>
      </w:r>
      <w:r w:rsidR="00BA5D2E" w:rsidRPr="004D427B">
        <w:t>triggered</w:t>
      </w:r>
      <w:r w:rsidR="00CB3EB9">
        <w:t xml:space="preserve"> positive</w:t>
      </w:r>
      <w:r w:rsidR="00BA5D2E" w:rsidRPr="004D427B">
        <w:t xml:space="preserve"> engag</w:t>
      </w:r>
      <w:r w:rsidR="007A770B" w:rsidRPr="004D427B">
        <w:t>ing as well as</w:t>
      </w:r>
      <w:r w:rsidR="00CB3EB9">
        <w:t xml:space="preserve"> negative</w:t>
      </w:r>
      <w:r w:rsidR="007A770B" w:rsidRPr="004D427B">
        <w:t xml:space="preserve"> disengaging</w:t>
      </w:r>
      <w:r w:rsidR="003A75B2">
        <w:t xml:space="preserve"> school</w:t>
      </w:r>
      <w:r w:rsidR="007A770B" w:rsidRPr="004D427B">
        <w:t xml:space="preserve"> experiences, though the former ones were emphasized</w:t>
      </w:r>
      <w:r w:rsidR="00D22EE2" w:rsidRPr="004D427B">
        <w:t xml:space="preserve">. </w:t>
      </w:r>
      <w:r w:rsidR="00BA5D2E" w:rsidRPr="004D427B">
        <w:t xml:space="preserve">However, entering the school seemed to be </w:t>
      </w:r>
      <w:r w:rsidR="00D45327" w:rsidRPr="004D427B">
        <w:t xml:space="preserve">a </w:t>
      </w:r>
      <w:r w:rsidR="00BA5D2E" w:rsidRPr="004D427B">
        <w:t xml:space="preserve">more contradictory phase of </w:t>
      </w:r>
      <w:r w:rsidR="00DA7A03" w:rsidRPr="004D427B">
        <w:t>the</w:t>
      </w:r>
      <w:r w:rsidR="00DD7C6E" w:rsidRPr="004D427B">
        <w:t>ir</w:t>
      </w:r>
      <w:r w:rsidR="00DA7A03" w:rsidRPr="004D427B">
        <w:t xml:space="preserve"> </w:t>
      </w:r>
      <w:r w:rsidR="00BA5D2E" w:rsidRPr="004D427B">
        <w:t xml:space="preserve">school path </w:t>
      </w:r>
      <w:r w:rsidR="007A770B" w:rsidRPr="004D427B">
        <w:t>for students with special needs than</w:t>
      </w:r>
      <w:r w:rsidR="00D45327" w:rsidRPr="004D427B">
        <w:t xml:space="preserve"> for</w:t>
      </w:r>
      <w:r w:rsidR="007A770B" w:rsidRPr="004D427B">
        <w:t xml:space="preserve"> their </w:t>
      </w:r>
      <w:r w:rsidR="00D45327" w:rsidRPr="004D427B">
        <w:t>general education classmates</w:t>
      </w:r>
      <w:r w:rsidR="007A770B" w:rsidRPr="004D427B">
        <w:t xml:space="preserve">. </w:t>
      </w:r>
      <w:r w:rsidR="005D2C22" w:rsidRPr="006D367C">
        <w:t>The frequencies of</w:t>
      </w:r>
      <w:r w:rsidR="00DB4BBF" w:rsidRPr="006D367C">
        <w:t xml:space="preserve"> positive</w:t>
      </w:r>
      <w:r w:rsidR="005D2C22" w:rsidRPr="006D367C">
        <w:t xml:space="preserve"> engaging and</w:t>
      </w:r>
      <w:r w:rsidR="00DB4BBF" w:rsidRPr="006D367C">
        <w:t xml:space="preserve"> negative</w:t>
      </w:r>
      <w:r w:rsidR="005D2C22" w:rsidRPr="006D367C">
        <w:t xml:space="preserve"> disengaging experiences followed similar pattern of growth within both group of students.</w:t>
      </w:r>
    </w:p>
    <w:p w14:paraId="0871B45B" w14:textId="77777777" w:rsidR="00FB091E" w:rsidRDefault="0050679B" w:rsidP="00997091">
      <w:pPr>
        <w:pStyle w:val="BodyText"/>
        <w:spacing w:line="240" w:lineRule="auto"/>
      </w:pPr>
      <w:r w:rsidRPr="006D367C">
        <w:t xml:space="preserve">The results also showed that </w:t>
      </w:r>
      <w:r w:rsidR="00F81694" w:rsidRPr="006D367C">
        <w:t xml:space="preserve">students reflected their emotional and cognitive engagement </w:t>
      </w:r>
      <w:r w:rsidR="003D2588" w:rsidRPr="006D367C">
        <w:t xml:space="preserve">through </w:t>
      </w:r>
      <w:r w:rsidR="00F81694" w:rsidRPr="006D367C">
        <w:t xml:space="preserve">their </w:t>
      </w:r>
      <w:r w:rsidRPr="006D367C">
        <w:t>positive and negative school experiences</w:t>
      </w:r>
      <w:r w:rsidR="00F81694" w:rsidRPr="006D367C">
        <w:t xml:space="preserve">. </w:t>
      </w:r>
      <w:r w:rsidR="003D1FBF" w:rsidRPr="006D367C">
        <w:t xml:space="preserve">The primary contexts </w:t>
      </w:r>
      <w:r w:rsidR="00F81694" w:rsidRPr="006D367C">
        <w:t xml:space="preserve">in </w:t>
      </w:r>
      <w:r w:rsidR="00490F63" w:rsidRPr="006D367C">
        <w:t xml:space="preserve">which </w:t>
      </w:r>
      <w:r w:rsidR="00F81694" w:rsidRPr="006D367C">
        <w:t xml:space="preserve">the emotionally and cognitively engaging school </w:t>
      </w:r>
      <w:r w:rsidR="000F5B4D" w:rsidRPr="006D367C">
        <w:t>experiences</w:t>
      </w:r>
      <w:r w:rsidR="00F81694" w:rsidRPr="006D367C">
        <w:t xml:space="preserve"> were embedded were </w:t>
      </w:r>
      <w:r w:rsidR="003D1FBF" w:rsidRPr="006D367C">
        <w:t>(1) peer interaction,</w:t>
      </w:r>
      <w:r w:rsidR="003D1FBF" w:rsidRPr="004D427B">
        <w:t xml:space="preserve"> (2) student</w:t>
      </w:r>
      <w:r w:rsidR="00F56ED6" w:rsidRPr="004D427B">
        <w:t>–</w:t>
      </w:r>
      <w:r w:rsidR="003D1FBF" w:rsidRPr="004D427B">
        <w:t xml:space="preserve">teacher interaction, and (3) studying </w:t>
      </w:r>
      <w:r w:rsidR="003D1FBF" w:rsidRPr="006D367C">
        <w:t>(</w:t>
      </w:r>
      <w:r w:rsidR="00DE221D" w:rsidRPr="006D367C">
        <w:t>see Ta</w:t>
      </w:r>
      <w:r w:rsidR="003D1FBF" w:rsidRPr="006D367C">
        <w:t xml:space="preserve">ble </w:t>
      </w:r>
      <w:r w:rsidR="00053D1D" w:rsidRPr="006D367C">
        <w:t>1</w:t>
      </w:r>
      <w:r w:rsidR="003D1FBF" w:rsidRPr="006D367C">
        <w:t xml:space="preserve">). </w:t>
      </w:r>
      <w:r w:rsidR="005907AF" w:rsidRPr="006D367C">
        <w:t>Pedagogical</w:t>
      </w:r>
      <w:r w:rsidR="005907AF" w:rsidRPr="003F0FA3">
        <w:t xml:space="preserve"> activities in school and special events outside school were also described.</w:t>
      </w:r>
      <w:r w:rsidR="005907AF">
        <w:t xml:space="preserve"> </w:t>
      </w:r>
      <w:r w:rsidR="005907AF" w:rsidRPr="003F0FA3">
        <w:t xml:space="preserve">However, the critical incidents of school engagement </w:t>
      </w:r>
      <w:r w:rsidR="005907AF">
        <w:t xml:space="preserve">were </w:t>
      </w:r>
      <w:r w:rsidR="005907AF" w:rsidRPr="003F0FA3">
        <w:t>primarily concerned with</w:t>
      </w:r>
      <w:r w:rsidR="005907AF">
        <w:t xml:space="preserve"> how the students perceived</w:t>
      </w:r>
      <w:r w:rsidR="005907AF" w:rsidRPr="003F0FA3">
        <w:t xml:space="preserve"> </w:t>
      </w:r>
      <w:r w:rsidR="005907AF" w:rsidRPr="00652E05">
        <w:t xml:space="preserve">the quality of interaction between </w:t>
      </w:r>
      <w:r w:rsidR="00652E05" w:rsidRPr="00652E05">
        <w:t>the members of the school community.</w:t>
      </w:r>
    </w:p>
    <w:p w14:paraId="0D20C8ED" w14:textId="77777777" w:rsidR="00997091" w:rsidRDefault="00997091" w:rsidP="00997091">
      <w:pPr>
        <w:pStyle w:val="BodyText"/>
        <w:spacing w:line="240" w:lineRule="auto"/>
      </w:pPr>
    </w:p>
    <w:p w14:paraId="3DC8D29C" w14:textId="77777777" w:rsidR="00997091" w:rsidRDefault="00997091" w:rsidP="00997091">
      <w:pPr>
        <w:ind w:firstLine="0"/>
        <w:rPr>
          <w:b/>
        </w:rPr>
      </w:pPr>
      <w:r>
        <w:rPr>
          <w:b/>
        </w:rPr>
        <w:t>Emotional Engagement in Peer I</w:t>
      </w:r>
      <w:r w:rsidRPr="007F68D7">
        <w:rPr>
          <w:b/>
        </w:rPr>
        <w:t>nteraction</w:t>
      </w:r>
    </w:p>
    <w:p w14:paraId="759A67A7" w14:textId="48F4D2E9" w:rsidR="008613C2" w:rsidRDefault="008613C2" w:rsidP="008613C2">
      <w:pPr>
        <w:pStyle w:val="BodyText"/>
        <w:spacing w:line="240" w:lineRule="auto"/>
        <w:ind w:firstLine="720"/>
        <w:rPr>
          <w:i/>
          <w:szCs w:val="24"/>
        </w:rPr>
      </w:pPr>
      <w:r w:rsidRPr="007F68D7">
        <w:t xml:space="preserve">The results showed that emotional engagement in peer interaction was the dominant element of school engagement both in the positive engaging (66%) and negative disengaging (57%) school experiences (see Table 1). </w:t>
      </w:r>
      <w:r>
        <w:t>Reports</w:t>
      </w:r>
      <w:r w:rsidRPr="007F68D7">
        <w:t xml:space="preserve"> of positive experiences </w:t>
      </w:r>
      <w:r>
        <w:t xml:space="preserve">(59%) </w:t>
      </w:r>
      <w:r w:rsidRPr="007F68D7">
        <w:t>w</w:t>
      </w:r>
      <w:r>
        <w:t>ere</w:t>
      </w:r>
      <w:r w:rsidRPr="007F68D7">
        <w:t xml:space="preserve"> </w:t>
      </w:r>
      <w:r>
        <w:t xml:space="preserve">slightly </w:t>
      </w:r>
      <w:r w:rsidRPr="007F68D7">
        <w:t>higher than the negative experiences</w:t>
      </w:r>
      <w:r>
        <w:t xml:space="preserve"> (41%)</w:t>
      </w:r>
      <w:r w:rsidRPr="007F68D7">
        <w:t xml:space="preserve"> in this category</w:t>
      </w:r>
      <w:r>
        <w:t xml:space="preserve"> (see Table 2). </w:t>
      </w:r>
      <w:r w:rsidRPr="007F68D7">
        <w:t xml:space="preserve"> All students emphasized the importance of having friends, of a constructive classroom climate, and of participating in common events within and outside school as positive sources for their sense of belonging. The critical incidents that triggered the emotionally engaging experiences were socially constructed premises for engaging school experience. For ins</w:t>
      </w:r>
      <w:r w:rsidRPr="006D367C">
        <w:rPr>
          <w:szCs w:val="24"/>
        </w:rPr>
        <w:t>tance, a girl attending special education recalled about her school path: “</w:t>
      </w:r>
      <w:r w:rsidRPr="006D367C">
        <w:rPr>
          <w:i/>
          <w:szCs w:val="24"/>
        </w:rPr>
        <w:t>We had camping school and we got to know our classmates better</w:t>
      </w:r>
      <w:r w:rsidRPr="006D367C">
        <w:rPr>
          <w:szCs w:val="24"/>
        </w:rPr>
        <w:t>”, and a boy attending special education</w:t>
      </w:r>
      <w:r w:rsidRPr="004D427B">
        <w:rPr>
          <w:szCs w:val="24"/>
        </w:rPr>
        <w:t xml:space="preserve"> raised as a critical episode: “</w:t>
      </w:r>
      <w:r w:rsidRPr="004D427B">
        <w:rPr>
          <w:i/>
          <w:szCs w:val="24"/>
        </w:rPr>
        <w:t>I got new friends</w:t>
      </w:r>
      <w:r w:rsidRPr="004D427B">
        <w:rPr>
          <w:szCs w:val="24"/>
        </w:rPr>
        <w:t>”.</w:t>
      </w:r>
    </w:p>
    <w:p w14:paraId="02F7FD49" w14:textId="77777777" w:rsidR="008613C2" w:rsidRDefault="008613C2" w:rsidP="008613C2">
      <w:pPr>
        <w:ind w:firstLine="0"/>
        <w:rPr>
          <w:b/>
        </w:rPr>
      </w:pPr>
    </w:p>
    <w:p w14:paraId="7EBC832D" w14:textId="77777777" w:rsidR="008613C2" w:rsidRDefault="008613C2" w:rsidP="008613C2">
      <w:pPr>
        <w:ind w:firstLine="0"/>
        <w:rPr>
          <w:b/>
        </w:rPr>
      </w:pPr>
    </w:p>
    <w:p w14:paraId="21015541" w14:textId="77777777" w:rsidR="008613C2" w:rsidRDefault="008613C2" w:rsidP="008613C2">
      <w:pPr>
        <w:ind w:firstLine="0"/>
        <w:rPr>
          <w:b/>
        </w:rPr>
      </w:pPr>
    </w:p>
    <w:p w14:paraId="09DF68AB" w14:textId="77777777" w:rsidR="008613C2" w:rsidRDefault="008613C2" w:rsidP="008613C2">
      <w:pPr>
        <w:ind w:firstLine="0"/>
      </w:pPr>
      <w:r w:rsidRPr="008926E1">
        <w:rPr>
          <w:b/>
        </w:rPr>
        <w:t>Table 1</w:t>
      </w:r>
      <w:r>
        <w:t xml:space="preserve">. </w:t>
      </w:r>
    </w:p>
    <w:p w14:paraId="3557C39C" w14:textId="5ABF191F" w:rsidR="008613C2" w:rsidRDefault="008613C2" w:rsidP="008613C2">
      <w:pPr>
        <w:ind w:firstLine="0"/>
        <w:rPr>
          <w:szCs w:val="24"/>
        </w:rPr>
      </w:pPr>
      <w:r w:rsidRPr="008010EB">
        <w:rPr>
          <w:rFonts w:eastAsia="Times New Roman" w:cs="Times New Roman"/>
          <w:color w:val="000000"/>
          <w:szCs w:val="24"/>
          <w:lang w:val="en-GB" w:eastAsia="en-GB"/>
        </w:rPr>
        <w:t xml:space="preserve">The </w:t>
      </w:r>
      <w:r>
        <w:rPr>
          <w:rFonts w:eastAsia="Times New Roman" w:cs="Times New Roman"/>
          <w:color w:val="000000"/>
          <w:szCs w:val="24"/>
          <w:lang w:val="en-GB" w:eastAsia="en-GB"/>
        </w:rPr>
        <w:t>p</w:t>
      </w:r>
      <w:r w:rsidRPr="008010EB">
        <w:rPr>
          <w:rFonts w:eastAsia="Times New Roman" w:cs="Times New Roman"/>
          <w:color w:val="000000"/>
          <w:szCs w:val="24"/>
          <w:lang w:val="en-GB" w:eastAsia="en-GB"/>
        </w:rPr>
        <w:t xml:space="preserve">rimary </w:t>
      </w:r>
      <w:r>
        <w:rPr>
          <w:rFonts w:eastAsia="Times New Roman" w:cs="Times New Roman"/>
          <w:color w:val="000000"/>
          <w:szCs w:val="24"/>
          <w:lang w:val="en-GB" w:eastAsia="en-GB"/>
        </w:rPr>
        <w:t>c</w:t>
      </w:r>
      <w:r w:rsidRPr="008010EB">
        <w:rPr>
          <w:rFonts w:eastAsia="Times New Roman" w:cs="Times New Roman"/>
          <w:color w:val="000000"/>
          <w:szCs w:val="24"/>
          <w:lang w:val="en-GB" w:eastAsia="en-GB"/>
        </w:rPr>
        <w:t xml:space="preserve">ontexts of </w:t>
      </w:r>
      <w:r>
        <w:rPr>
          <w:rFonts w:eastAsia="Times New Roman" w:cs="Times New Roman"/>
          <w:color w:val="000000"/>
          <w:szCs w:val="24"/>
          <w:lang w:val="en-GB" w:eastAsia="en-GB"/>
        </w:rPr>
        <w:t>st</w:t>
      </w:r>
      <w:r w:rsidRPr="008010EB">
        <w:rPr>
          <w:rFonts w:eastAsia="Times New Roman" w:cs="Times New Roman"/>
          <w:color w:val="000000"/>
          <w:szCs w:val="24"/>
          <w:lang w:val="en-GB" w:eastAsia="en-GB"/>
        </w:rPr>
        <w:t xml:space="preserve">udents´ </w:t>
      </w:r>
      <w:r>
        <w:rPr>
          <w:rFonts w:eastAsia="Times New Roman" w:cs="Times New Roman"/>
          <w:color w:val="000000"/>
          <w:szCs w:val="24"/>
          <w:lang w:val="en-GB" w:eastAsia="en-GB"/>
        </w:rPr>
        <w:t>s</w:t>
      </w:r>
      <w:r w:rsidRPr="008010EB">
        <w:rPr>
          <w:rFonts w:eastAsia="Times New Roman" w:cs="Times New Roman"/>
          <w:color w:val="000000"/>
          <w:szCs w:val="24"/>
          <w:lang w:val="en-GB" w:eastAsia="en-GB"/>
        </w:rPr>
        <w:t xml:space="preserve">chool </w:t>
      </w:r>
      <w:r>
        <w:rPr>
          <w:rFonts w:eastAsia="Times New Roman" w:cs="Times New Roman"/>
          <w:color w:val="000000"/>
          <w:szCs w:val="24"/>
          <w:lang w:val="en-GB" w:eastAsia="en-GB"/>
        </w:rPr>
        <w:t>e</w:t>
      </w:r>
      <w:r w:rsidRPr="008010EB">
        <w:rPr>
          <w:rFonts w:eastAsia="Times New Roman" w:cs="Times New Roman"/>
          <w:color w:val="000000"/>
          <w:szCs w:val="24"/>
          <w:lang w:val="en-GB" w:eastAsia="en-GB"/>
        </w:rPr>
        <w:t>ngagement</w:t>
      </w:r>
      <w:r>
        <w:rPr>
          <w:rFonts w:eastAsia="Times New Roman" w:cs="Times New Roman"/>
          <w:color w:val="000000"/>
          <w:szCs w:val="24"/>
          <w:lang w:val="en-GB" w:eastAsia="en-GB"/>
        </w:rPr>
        <w:t xml:space="preserve"> within the category positive and negative experiences</w:t>
      </w:r>
    </w:p>
    <w:p w14:paraId="5C449272" w14:textId="77777777" w:rsidR="00997091" w:rsidRDefault="00997091" w:rsidP="00997091">
      <w:pPr>
        <w:ind w:firstLine="0"/>
        <w:rPr>
          <w:b/>
        </w:rPr>
      </w:pPr>
    </w:p>
    <w:tbl>
      <w:tblPr>
        <w:tblStyle w:val="TableGrid"/>
        <w:tblpPr w:leftFromText="180" w:rightFromText="180" w:vertAnchor="text" w:horzAnchor="margin" w:tblpY="-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1525"/>
        <w:gridCol w:w="708"/>
        <w:gridCol w:w="1388"/>
        <w:gridCol w:w="646"/>
        <w:gridCol w:w="1372"/>
      </w:tblGrid>
      <w:tr w:rsidR="008613C2" w14:paraId="17E75847" w14:textId="77777777" w:rsidTr="008613C2">
        <w:trPr>
          <w:trHeight w:val="561"/>
        </w:trPr>
        <w:tc>
          <w:tcPr>
            <w:tcW w:w="3353" w:type="dxa"/>
            <w:tcBorders>
              <w:top w:val="single" w:sz="4" w:space="0" w:color="auto"/>
              <w:bottom w:val="single" w:sz="4" w:space="0" w:color="auto"/>
            </w:tcBorders>
          </w:tcPr>
          <w:p w14:paraId="1364035D" w14:textId="77777777" w:rsidR="008613C2" w:rsidRDefault="008613C2" w:rsidP="008613C2">
            <w:pPr>
              <w:ind w:firstLine="0"/>
              <w:rPr>
                <w:szCs w:val="24"/>
              </w:rPr>
            </w:pPr>
          </w:p>
        </w:tc>
        <w:tc>
          <w:tcPr>
            <w:tcW w:w="1525" w:type="dxa"/>
            <w:tcBorders>
              <w:top w:val="single" w:sz="4" w:space="0" w:color="auto"/>
              <w:bottom w:val="single" w:sz="4" w:space="0" w:color="auto"/>
            </w:tcBorders>
          </w:tcPr>
          <w:p w14:paraId="7EE1CFB0" w14:textId="77777777" w:rsidR="008613C2" w:rsidRDefault="008613C2" w:rsidP="008613C2">
            <w:pPr>
              <w:ind w:firstLine="0"/>
              <w:jc w:val="center"/>
              <w:rPr>
                <w:szCs w:val="24"/>
              </w:rPr>
            </w:pPr>
            <w:r>
              <w:rPr>
                <w:szCs w:val="24"/>
              </w:rPr>
              <w:t>Positive Experiences</w:t>
            </w:r>
          </w:p>
        </w:tc>
        <w:tc>
          <w:tcPr>
            <w:tcW w:w="708" w:type="dxa"/>
            <w:tcBorders>
              <w:top w:val="single" w:sz="4" w:space="0" w:color="auto"/>
              <w:bottom w:val="single" w:sz="4" w:space="0" w:color="auto"/>
            </w:tcBorders>
          </w:tcPr>
          <w:p w14:paraId="37E98906" w14:textId="77777777" w:rsidR="008613C2" w:rsidRDefault="008613C2" w:rsidP="008613C2">
            <w:pPr>
              <w:ind w:firstLine="0"/>
              <w:jc w:val="center"/>
              <w:rPr>
                <w:szCs w:val="24"/>
              </w:rPr>
            </w:pPr>
          </w:p>
        </w:tc>
        <w:tc>
          <w:tcPr>
            <w:tcW w:w="1388" w:type="dxa"/>
            <w:tcBorders>
              <w:top w:val="single" w:sz="4" w:space="0" w:color="auto"/>
              <w:bottom w:val="single" w:sz="4" w:space="0" w:color="auto"/>
            </w:tcBorders>
          </w:tcPr>
          <w:p w14:paraId="153A8F36" w14:textId="77777777" w:rsidR="008613C2" w:rsidRDefault="008613C2" w:rsidP="008613C2">
            <w:pPr>
              <w:ind w:firstLine="0"/>
              <w:jc w:val="center"/>
              <w:rPr>
                <w:szCs w:val="24"/>
              </w:rPr>
            </w:pPr>
            <w:r>
              <w:rPr>
                <w:szCs w:val="24"/>
              </w:rPr>
              <w:t>Negative Experiences</w:t>
            </w:r>
          </w:p>
        </w:tc>
        <w:tc>
          <w:tcPr>
            <w:tcW w:w="646" w:type="dxa"/>
            <w:tcBorders>
              <w:top w:val="single" w:sz="4" w:space="0" w:color="auto"/>
              <w:bottom w:val="single" w:sz="4" w:space="0" w:color="auto"/>
            </w:tcBorders>
          </w:tcPr>
          <w:p w14:paraId="0294D0E7" w14:textId="77777777" w:rsidR="008613C2" w:rsidRDefault="008613C2" w:rsidP="008613C2">
            <w:pPr>
              <w:ind w:firstLine="0"/>
              <w:jc w:val="center"/>
              <w:rPr>
                <w:szCs w:val="24"/>
              </w:rPr>
            </w:pPr>
          </w:p>
        </w:tc>
        <w:tc>
          <w:tcPr>
            <w:tcW w:w="1372" w:type="dxa"/>
            <w:tcBorders>
              <w:top w:val="single" w:sz="4" w:space="0" w:color="auto"/>
              <w:bottom w:val="single" w:sz="4" w:space="0" w:color="auto"/>
            </w:tcBorders>
          </w:tcPr>
          <w:p w14:paraId="221EEFEF" w14:textId="77777777" w:rsidR="008613C2" w:rsidRDefault="008613C2" w:rsidP="008613C2">
            <w:pPr>
              <w:ind w:firstLine="0"/>
              <w:jc w:val="center"/>
              <w:rPr>
                <w:szCs w:val="24"/>
              </w:rPr>
            </w:pPr>
            <w:r>
              <w:rPr>
                <w:szCs w:val="24"/>
              </w:rPr>
              <w:t>Total</w:t>
            </w:r>
          </w:p>
        </w:tc>
      </w:tr>
      <w:tr w:rsidR="008613C2" w14:paraId="19095125" w14:textId="77777777" w:rsidTr="008613C2">
        <w:trPr>
          <w:trHeight w:val="264"/>
        </w:trPr>
        <w:tc>
          <w:tcPr>
            <w:tcW w:w="3353" w:type="dxa"/>
            <w:tcBorders>
              <w:top w:val="single" w:sz="4" w:space="0" w:color="auto"/>
            </w:tcBorders>
          </w:tcPr>
          <w:p w14:paraId="21326BF8" w14:textId="77777777" w:rsidR="008613C2" w:rsidRDefault="008613C2" w:rsidP="008613C2">
            <w:pPr>
              <w:ind w:firstLine="0"/>
              <w:rPr>
                <w:szCs w:val="24"/>
              </w:rPr>
            </w:pPr>
          </w:p>
        </w:tc>
        <w:tc>
          <w:tcPr>
            <w:tcW w:w="1525" w:type="dxa"/>
            <w:tcBorders>
              <w:top w:val="single" w:sz="4" w:space="0" w:color="auto"/>
            </w:tcBorders>
          </w:tcPr>
          <w:p w14:paraId="2664CA35" w14:textId="77777777" w:rsidR="008613C2" w:rsidRDefault="008613C2" w:rsidP="008613C2">
            <w:pPr>
              <w:ind w:firstLine="0"/>
              <w:rPr>
                <w:szCs w:val="24"/>
              </w:rPr>
            </w:pPr>
          </w:p>
        </w:tc>
        <w:tc>
          <w:tcPr>
            <w:tcW w:w="708" w:type="dxa"/>
            <w:tcBorders>
              <w:top w:val="single" w:sz="4" w:space="0" w:color="auto"/>
            </w:tcBorders>
          </w:tcPr>
          <w:p w14:paraId="03AE272D" w14:textId="77777777" w:rsidR="008613C2" w:rsidRDefault="008613C2" w:rsidP="008613C2">
            <w:pPr>
              <w:ind w:firstLine="0"/>
              <w:rPr>
                <w:szCs w:val="24"/>
              </w:rPr>
            </w:pPr>
          </w:p>
        </w:tc>
        <w:tc>
          <w:tcPr>
            <w:tcW w:w="1388" w:type="dxa"/>
            <w:tcBorders>
              <w:top w:val="single" w:sz="4" w:space="0" w:color="auto"/>
            </w:tcBorders>
          </w:tcPr>
          <w:p w14:paraId="4B21AD9B" w14:textId="77777777" w:rsidR="008613C2" w:rsidRDefault="008613C2" w:rsidP="008613C2">
            <w:pPr>
              <w:ind w:firstLine="0"/>
              <w:rPr>
                <w:szCs w:val="24"/>
              </w:rPr>
            </w:pPr>
          </w:p>
        </w:tc>
        <w:tc>
          <w:tcPr>
            <w:tcW w:w="646" w:type="dxa"/>
            <w:tcBorders>
              <w:top w:val="single" w:sz="4" w:space="0" w:color="auto"/>
            </w:tcBorders>
          </w:tcPr>
          <w:p w14:paraId="660DFF5A" w14:textId="77777777" w:rsidR="008613C2" w:rsidRDefault="008613C2" w:rsidP="008613C2">
            <w:pPr>
              <w:ind w:firstLine="0"/>
              <w:rPr>
                <w:szCs w:val="24"/>
              </w:rPr>
            </w:pPr>
          </w:p>
        </w:tc>
        <w:tc>
          <w:tcPr>
            <w:tcW w:w="1372" w:type="dxa"/>
            <w:tcBorders>
              <w:top w:val="single" w:sz="4" w:space="0" w:color="auto"/>
            </w:tcBorders>
          </w:tcPr>
          <w:p w14:paraId="420A1D0D" w14:textId="77777777" w:rsidR="008613C2" w:rsidRDefault="008613C2" w:rsidP="008613C2">
            <w:pPr>
              <w:ind w:firstLine="0"/>
              <w:rPr>
                <w:szCs w:val="24"/>
              </w:rPr>
            </w:pPr>
          </w:p>
        </w:tc>
      </w:tr>
      <w:tr w:rsidR="008613C2" w14:paraId="748F4FB8" w14:textId="77777777" w:rsidTr="008613C2">
        <w:trPr>
          <w:trHeight w:val="561"/>
        </w:trPr>
        <w:tc>
          <w:tcPr>
            <w:tcW w:w="3353" w:type="dxa"/>
          </w:tcPr>
          <w:p w14:paraId="157AAE9E" w14:textId="77777777" w:rsidR="008613C2" w:rsidRDefault="008613C2" w:rsidP="008613C2">
            <w:pPr>
              <w:ind w:firstLine="0"/>
              <w:rPr>
                <w:szCs w:val="24"/>
              </w:rPr>
            </w:pPr>
            <w:r w:rsidRPr="00EE4066">
              <w:rPr>
                <w:rFonts w:eastAsia="Times New Roman" w:cs="Times New Roman"/>
                <w:color w:val="000000"/>
                <w:szCs w:val="24"/>
                <w:lang w:val="en-GB" w:eastAsia="en-GB"/>
              </w:rPr>
              <w:t>Emotional engagement in peer interaction (n)</w:t>
            </w:r>
          </w:p>
        </w:tc>
        <w:tc>
          <w:tcPr>
            <w:tcW w:w="1525" w:type="dxa"/>
          </w:tcPr>
          <w:p w14:paraId="1E89A364" w14:textId="77777777" w:rsidR="008613C2" w:rsidRDefault="008613C2" w:rsidP="008613C2">
            <w:pPr>
              <w:ind w:firstLine="0"/>
              <w:jc w:val="center"/>
              <w:rPr>
                <w:szCs w:val="24"/>
              </w:rPr>
            </w:pPr>
            <w:r>
              <w:rPr>
                <w:szCs w:val="24"/>
              </w:rPr>
              <w:t>68</w:t>
            </w:r>
          </w:p>
          <w:p w14:paraId="214DEB74" w14:textId="77777777" w:rsidR="008613C2" w:rsidRDefault="008613C2" w:rsidP="008613C2">
            <w:pPr>
              <w:ind w:firstLine="0"/>
              <w:jc w:val="center"/>
              <w:rPr>
                <w:szCs w:val="24"/>
              </w:rPr>
            </w:pPr>
            <w:r>
              <w:rPr>
                <w:szCs w:val="24"/>
              </w:rPr>
              <w:t>66%</w:t>
            </w:r>
          </w:p>
        </w:tc>
        <w:tc>
          <w:tcPr>
            <w:tcW w:w="708" w:type="dxa"/>
          </w:tcPr>
          <w:p w14:paraId="454E767D" w14:textId="77777777" w:rsidR="008613C2" w:rsidRDefault="008613C2" w:rsidP="008613C2">
            <w:pPr>
              <w:ind w:firstLine="0"/>
              <w:jc w:val="center"/>
              <w:rPr>
                <w:szCs w:val="24"/>
              </w:rPr>
            </w:pPr>
          </w:p>
        </w:tc>
        <w:tc>
          <w:tcPr>
            <w:tcW w:w="1388" w:type="dxa"/>
          </w:tcPr>
          <w:p w14:paraId="6E247FD6" w14:textId="77777777" w:rsidR="008613C2" w:rsidRDefault="008613C2" w:rsidP="008613C2">
            <w:pPr>
              <w:ind w:firstLine="0"/>
              <w:jc w:val="center"/>
              <w:rPr>
                <w:szCs w:val="24"/>
              </w:rPr>
            </w:pPr>
            <w:r>
              <w:rPr>
                <w:szCs w:val="24"/>
              </w:rPr>
              <w:t>47</w:t>
            </w:r>
          </w:p>
          <w:p w14:paraId="09491A33" w14:textId="77777777" w:rsidR="008613C2" w:rsidRDefault="008613C2" w:rsidP="008613C2">
            <w:pPr>
              <w:ind w:firstLine="0"/>
              <w:jc w:val="center"/>
              <w:rPr>
                <w:szCs w:val="24"/>
              </w:rPr>
            </w:pPr>
            <w:r>
              <w:rPr>
                <w:szCs w:val="24"/>
              </w:rPr>
              <w:t>57%</w:t>
            </w:r>
          </w:p>
        </w:tc>
        <w:tc>
          <w:tcPr>
            <w:tcW w:w="646" w:type="dxa"/>
          </w:tcPr>
          <w:p w14:paraId="547EC7E7" w14:textId="77777777" w:rsidR="008613C2" w:rsidRDefault="008613C2" w:rsidP="008613C2">
            <w:pPr>
              <w:ind w:firstLine="0"/>
              <w:jc w:val="center"/>
              <w:rPr>
                <w:szCs w:val="24"/>
              </w:rPr>
            </w:pPr>
          </w:p>
        </w:tc>
        <w:tc>
          <w:tcPr>
            <w:tcW w:w="1372" w:type="dxa"/>
          </w:tcPr>
          <w:p w14:paraId="1EC7DDA9" w14:textId="77777777" w:rsidR="008613C2" w:rsidRDefault="008613C2" w:rsidP="008613C2">
            <w:pPr>
              <w:ind w:firstLine="0"/>
              <w:jc w:val="center"/>
              <w:rPr>
                <w:szCs w:val="24"/>
              </w:rPr>
            </w:pPr>
            <w:r>
              <w:rPr>
                <w:szCs w:val="24"/>
              </w:rPr>
              <w:t>115</w:t>
            </w:r>
          </w:p>
        </w:tc>
      </w:tr>
      <w:tr w:rsidR="008613C2" w14:paraId="33B831DB" w14:textId="77777777" w:rsidTr="008613C2">
        <w:trPr>
          <w:trHeight w:val="280"/>
        </w:trPr>
        <w:tc>
          <w:tcPr>
            <w:tcW w:w="3353" w:type="dxa"/>
          </w:tcPr>
          <w:p w14:paraId="38F22FF1" w14:textId="77777777" w:rsidR="008613C2" w:rsidRDefault="008613C2" w:rsidP="008613C2">
            <w:pPr>
              <w:ind w:firstLine="0"/>
              <w:rPr>
                <w:szCs w:val="24"/>
              </w:rPr>
            </w:pPr>
          </w:p>
        </w:tc>
        <w:tc>
          <w:tcPr>
            <w:tcW w:w="1525" w:type="dxa"/>
          </w:tcPr>
          <w:p w14:paraId="3E26122F" w14:textId="77777777" w:rsidR="008613C2" w:rsidRDefault="008613C2" w:rsidP="008613C2">
            <w:pPr>
              <w:ind w:firstLine="0"/>
              <w:jc w:val="center"/>
              <w:rPr>
                <w:szCs w:val="24"/>
              </w:rPr>
            </w:pPr>
          </w:p>
        </w:tc>
        <w:tc>
          <w:tcPr>
            <w:tcW w:w="708" w:type="dxa"/>
          </w:tcPr>
          <w:p w14:paraId="5594628D" w14:textId="77777777" w:rsidR="008613C2" w:rsidRDefault="008613C2" w:rsidP="008613C2">
            <w:pPr>
              <w:ind w:firstLine="0"/>
              <w:jc w:val="center"/>
              <w:rPr>
                <w:szCs w:val="24"/>
              </w:rPr>
            </w:pPr>
          </w:p>
        </w:tc>
        <w:tc>
          <w:tcPr>
            <w:tcW w:w="1388" w:type="dxa"/>
          </w:tcPr>
          <w:p w14:paraId="38958E05" w14:textId="77777777" w:rsidR="008613C2" w:rsidRDefault="008613C2" w:rsidP="008613C2">
            <w:pPr>
              <w:ind w:firstLine="0"/>
              <w:jc w:val="center"/>
              <w:rPr>
                <w:szCs w:val="24"/>
              </w:rPr>
            </w:pPr>
          </w:p>
        </w:tc>
        <w:tc>
          <w:tcPr>
            <w:tcW w:w="646" w:type="dxa"/>
          </w:tcPr>
          <w:p w14:paraId="5C7624A4" w14:textId="77777777" w:rsidR="008613C2" w:rsidRDefault="008613C2" w:rsidP="008613C2">
            <w:pPr>
              <w:ind w:firstLine="0"/>
              <w:jc w:val="center"/>
              <w:rPr>
                <w:szCs w:val="24"/>
              </w:rPr>
            </w:pPr>
          </w:p>
        </w:tc>
        <w:tc>
          <w:tcPr>
            <w:tcW w:w="1372" w:type="dxa"/>
          </w:tcPr>
          <w:p w14:paraId="3B6884B7" w14:textId="77777777" w:rsidR="008613C2" w:rsidRDefault="008613C2" w:rsidP="008613C2">
            <w:pPr>
              <w:ind w:firstLine="0"/>
              <w:jc w:val="center"/>
              <w:rPr>
                <w:szCs w:val="24"/>
              </w:rPr>
            </w:pPr>
          </w:p>
        </w:tc>
      </w:tr>
      <w:tr w:rsidR="008613C2" w14:paraId="6394C2C6" w14:textId="77777777" w:rsidTr="008613C2">
        <w:trPr>
          <w:trHeight w:val="545"/>
        </w:trPr>
        <w:tc>
          <w:tcPr>
            <w:tcW w:w="3353" w:type="dxa"/>
          </w:tcPr>
          <w:p w14:paraId="3C5D5C13" w14:textId="77777777" w:rsidR="008613C2" w:rsidRPr="00EE4066" w:rsidRDefault="008613C2" w:rsidP="008613C2">
            <w:pPr>
              <w:ind w:firstLine="0"/>
              <w:rPr>
                <w:rFonts w:eastAsia="Times New Roman" w:cs="Times New Roman"/>
                <w:color w:val="000000"/>
                <w:szCs w:val="24"/>
                <w:lang w:val="en-GB" w:eastAsia="en-GB"/>
              </w:rPr>
            </w:pPr>
            <w:r w:rsidRPr="00EE4066">
              <w:rPr>
                <w:rFonts w:eastAsia="Times New Roman" w:cs="Times New Roman"/>
                <w:color w:val="000000"/>
                <w:szCs w:val="24"/>
                <w:lang w:val="en-GB" w:eastAsia="en-GB"/>
              </w:rPr>
              <w:t>Emotional engagement in</w:t>
            </w:r>
          </w:p>
          <w:p w14:paraId="64A2239C" w14:textId="77777777" w:rsidR="008613C2" w:rsidRDefault="008613C2" w:rsidP="008613C2">
            <w:pPr>
              <w:ind w:firstLine="0"/>
              <w:rPr>
                <w:szCs w:val="24"/>
              </w:rPr>
            </w:pPr>
            <w:r w:rsidRPr="00EE4066">
              <w:rPr>
                <w:rFonts w:eastAsia="Times New Roman" w:cs="Times New Roman"/>
                <w:color w:val="000000"/>
                <w:szCs w:val="24"/>
                <w:lang w:val="en-GB" w:eastAsia="en-GB"/>
              </w:rPr>
              <w:t>student–teacher interaction(n)</w:t>
            </w:r>
          </w:p>
        </w:tc>
        <w:tc>
          <w:tcPr>
            <w:tcW w:w="1525" w:type="dxa"/>
          </w:tcPr>
          <w:p w14:paraId="3B3D084A" w14:textId="77777777" w:rsidR="008613C2" w:rsidRDefault="008613C2" w:rsidP="008613C2">
            <w:pPr>
              <w:ind w:firstLine="0"/>
              <w:jc w:val="center"/>
              <w:rPr>
                <w:szCs w:val="24"/>
              </w:rPr>
            </w:pPr>
            <w:r>
              <w:rPr>
                <w:szCs w:val="24"/>
              </w:rPr>
              <w:t>16</w:t>
            </w:r>
          </w:p>
          <w:p w14:paraId="2F73D8F3" w14:textId="77777777" w:rsidR="008613C2" w:rsidRDefault="008613C2" w:rsidP="008613C2">
            <w:pPr>
              <w:ind w:firstLine="0"/>
              <w:jc w:val="center"/>
              <w:rPr>
                <w:szCs w:val="24"/>
              </w:rPr>
            </w:pPr>
            <w:r>
              <w:rPr>
                <w:szCs w:val="24"/>
              </w:rPr>
              <w:t>15%</w:t>
            </w:r>
          </w:p>
        </w:tc>
        <w:tc>
          <w:tcPr>
            <w:tcW w:w="708" w:type="dxa"/>
          </w:tcPr>
          <w:p w14:paraId="0A56A27F" w14:textId="77777777" w:rsidR="008613C2" w:rsidRDefault="008613C2" w:rsidP="008613C2">
            <w:pPr>
              <w:ind w:firstLine="0"/>
              <w:jc w:val="center"/>
              <w:rPr>
                <w:szCs w:val="24"/>
              </w:rPr>
            </w:pPr>
          </w:p>
        </w:tc>
        <w:tc>
          <w:tcPr>
            <w:tcW w:w="1388" w:type="dxa"/>
          </w:tcPr>
          <w:p w14:paraId="38A488CD" w14:textId="77777777" w:rsidR="008613C2" w:rsidRDefault="008613C2" w:rsidP="008613C2">
            <w:pPr>
              <w:ind w:firstLine="0"/>
              <w:jc w:val="center"/>
              <w:rPr>
                <w:szCs w:val="24"/>
              </w:rPr>
            </w:pPr>
            <w:r>
              <w:rPr>
                <w:szCs w:val="24"/>
              </w:rPr>
              <w:t>22</w:t>
            </w:r>
          </w:p>
          <w:p w14:paraId="1B20EFD3" w14:textId="77777777" w:rsidR="008613C2" w:rsidRDefault="008613C2" w:rsidP="008613C2">
            <w:pPr>
              <w:ind w:firstLine="0"/>
              <w:jc w:val="center"/>
              <w:rPr>
                <w:szCs w:val="24"/>
              </w:rPr>
            </w:pPr>
            <w:r>
              <w:rPr>
                <w:szCs w:val="24"/>
              </w:rPr>
              <w:t>27%</w:t>
            </w:r>
          </w:p>
        </w:tc>
        <w:tc>
          <w:tcPr>
            <w:tcW w:w="646" w:type="dxa"/>
          </w:tcPr>
          <w:p w14:paraId="599D32D7" w14:textId="77777777" w:rsidR="008613C2" w:rsidRDefault="008613C2" w:rsidP="008613C2">
            <w:pPr>
              <w:ind w:firstLine="0"/>
              <w:jc w:val="center"/>
              <w:rPr>
                <w:szCs w:val="24"/>
              </w:rPr>
            </w:pPr>
          </w:p>
        </w:tc>
        <w:tc>
          <w:tcPr>
            <w:tcW w:w="1372" w:type="dxa"/>
          </w:tcPr>
          <w:p w14:paraId="7EB43CFD" w14:textId="77777777" w:rsidR="008613C2" w:rsidRDefault="008613C2" w:rsidP="008613C2">
            <w:pPr>
              <w:ind w:firstLine="0"/>
              <w:jc w:val="center"/>
              <w:rPr>
                <w:szCs w:val="24"/>
              </w:rPr>
            </w:pPr>
            <w:r>
              <w:rPr>
                <w:szCs w:val="24"/>
              </w:rPr>
              <w:t>38</w:t>
            </w:r>
          </w:p>
        </w:tc>
      </w:tr>
      <w:tr w:rsidR="008613C2" w14:paraId="2A2F38CA" w14:textId="77777777" w:rsidTr="008613C2">
        <w:trPr>
          <w:trHeight w:val="280"/>
        </w:trPr>
        <w:tc>
          <w:tcPr>
            <w:tcW w:w="3353" w:type="dxa"/>
          </w:tcPr>
          <w:p w14:paraId="5D011259" w14:textId="77777777" w:rsidR="008613C2" w:rsidRDefault="008613C2" w:rsidP="008613C2">
            <w:pPr>
              <w:ind w:firstLine="0"/>
              <w:rPr>
                <w:szCs w:val="24"/>
              </w:rPr>
            </w:pPr>
          </w:p>
        </w:tc>
        <w:tc>
          <w:tcPr>
            <w:tcW w:w="1525" w:type="dxa"/>
          </w:tcPr>
          <w:p w14:paraId="0D29DA2B" w14:textId="77777777" w:rsidR="008613C2" w:rsidRDefault="008613C2" w:rsidP="008613C2">
            <w:pPr>
              <w:ind w:firstLine="0"/>
              <w:jc w:val="center"/>
              <w:rPr>
                <w:szCs w:val="24"/>
              </w:rPr>
            </w:pPr>
          </w:p>
        </w:tc>
        <w:tc>
          <w:tcPr>
            <w:tcW w:w="708" w:type="dxa"/>
          </w:tcPr>
          <w:p w14:paraId="19A36470" w14:textId="77777777" w:rsidR="008613C2" w:rsidRDefault="008613C2" w:rsidP="008613C2">
            <w:pPr>
              <w:ind w:firstLine="0"/>
              <w:jc w:val="center"/>
              <w:rPr>
                <w:szCs w:val="24"/>
              </w:rPr>
            </w:pPr>
          </w:p>
        </w:tc>
        <w:tc>
          <w:tcPr>
            <w:tcW w:w="1388" w:type="dxa"/>
          </w:tcPr>
          <w:p w14:paraId="2C50D4BC" w14:textId="77777777" w:rsidR="008613C2" w:rsidRDefault="008613C2" w:rsidP="008613C2">
            <w:pPr>
              <w:ind w:firstLine="0"/>
              <w:jc w:val="center"/>
              <w:rPr>
                <w:szCs w:val="24"/>
              </w:rPr>
            </w:pPr>
          </w:p>
        </w:tc>
        <w:tc>
          <w:tcPr>
            <w:tcW w:w="646" w:type="dxa"/>
          </w:tcPr>
          <w:p w14:paraId="33FE050B" w14:textId="77777777" w:rsidR="008613C2" w:rsidRDefault="008613C2" w:rsidP="008613C2">
            <w:pPr>
              <w:ind w:firstLine="0"/>
              <w:jc w:val="center"/>
              <w:rPr>
                <w:szCs w:val="24"/>
              </w:rPr>
            </w:pPr>
          </w:p>
        </w:tc>
        <w:tc>
          <w:tcPr>
            <w:tcW w:w="1372" w:type="dxa"/>
          </w:tcPr>
          <w:p w14:paraId="33143B2F" w14:textId="77777777" w:rsidR="008613C2" w:rsidRDefault="008613C2" w:rsidP="008613C2">
            <w:pPr>
              <w:ind w:firstLine="0"/>
              <w:jc w:val="center"/>
              <w:rPr>
                <w:szCs w:val="24"/>
              </w:rPr>
            </w:pPr>
          </w:p>
        </w:tc>
      </w:tr>
      <w:tr w:rsidR="008613C2" w14:paraId="4BE0D9FD" w14:textId="77777777" w:rsidTr="008613C2">
        <w:trPr>
          <w:trHeight w:val="561"/>
        </w:trPr>
        <w:tc>
          <w:tcPr>
            <w:tcW w:w="3353" w:type="dxa"/>
          </w:tcPr>
          <w:p w14:paraId="70A2787E" w14:textId="77777777" w:rsidR="008613C2" w:rsidRPr="00FE3FD1" w:rsidRDefault="008613C2" w:rsidP="008613C2">
            <w:pPr>
              <w:ind w:firstLine="0"/>
            </w:pPr>
            <w:r w:rsidRPr="00EE4066">
              <w:rPr>
                <w:rFonts w:eastAsia="Times New Roman" w:cs="Times New Roman"/>
                <w:color w:val="000000"/>
                <w:szCs w:val="24"/>
                <w:lang w:val="en-GB" w:eastAsia="en-GB"/>
              </w:rPr>
              <w:t>Cognitive engagement in studying (n)</w:t>
            </w:r>
          </w:p>
        </w:tc>
        <w:tc>
          <w:tcPr>
            <w:tcW w:w="1525" w:type="dxa"/>
          </w:tcPr>
          <w:p w14:paraId="23F5752F" w14:textId="77777777" w:rsidR="008613C2" w:rsidRDefault="008613C2" w:rsidP="008613C2">
            <w:pPr>
              <w:ind w:firstLine="0"/>
              <w:jc w:val="center"/>
              <w:rPr>
                <w:szCs w:val="24"/>
              </w:rPr>
            </w:pPr>
            <w:r>
              <w:rPr>
                <w:szCs w:val="24"/>
              </w:rPr>
              <w:t>20</w:t>
            </w:r>
          </w:p>
          <w:p w14:paraId="1A9D45D9" w14:textId="77777777" w:rsidR="008613C2" w:rsidRDefault="008613C2" w:rsidP="008613C2">
            <w:pPr>
              <w:ind w:firstLine="0"/>
              <w:jc w:val="center"/>
              <w:rPr>
                <w:szCs w:val="24"/>
              </w:rPr>
            </w:pPr>
            <w:r>
              <w:rPr>
                <w:szCs w:val="24"/>
              </w:rPr>
              <w:t>19%</w:t>
            </w:r>
          </w:p>
        </w:tc>
        <w:tc>
          <w:tcPr>
            <w:tcW w:w="708" w:type="dxa"/>
          </w:tcPr>
          <w:p w14:paraId="1E8D4B09" w14:textId="77777777" w:rsidR="008613C2" w:rsidRDefault="008613C2" w:rsidP="008613C2">
            <w:pPr>
              <w:ind w:firstLine="0"/>
              <w:jc w:val="center"/>
              <w:rPr>
                <w:szCs w:val="24"/>
              </w:rPr>
            </w:pPr>
          </w:p>
        </w:tc>
        <w:tc>
          <w:tcPr>
            <w:tcW w:w="1388" w:type="dxa"/>
          </w:tcPr>
          <w:p w14:paraId="2D844A66" w14:textId="77777777" w:rsidR="008613C2" w:rsidRDefault="008613C2" w:rsidP="008613C2">
            <w:pPr>
              <w:ind w:firstLine="0"/>
              <w:jc w:val="center"/>
              <w:rPr>
                <w:szCs w:val="24"/>
              </w:rPr>
            </w:pPr>
            <w:r>
              <w:rPr>
                <w:szCs w:val="24"/>
              </w:rPr>
              <w:t>13</w:t>
            </w:r>
          </w:p>
          <w:p w14:paraId="4726F263" w14:textId="77777777" w:rsidR="008613C2" w:rsidRDefault="008613C2" w:rsidP="008613C2">
            <w:pPr>
              <w:ind w:firstLine="0"/>
              <w:jc w:val="center"/>
              <w:rPr>
                <w:szCs w:val="24"/>
              </w:rPr>
            </w:pPr>
            <w:r>
              <w:rPr>
                <w:szCs w:val="24"/>
              </w:rPr>
              <w:t>16%</w:t>
            </w:r>
          </w:p>
        </w:tc>
        <w:tc>
          <w:tcPr>
            <w:tcW w:w="646" w:type="dxa"/>
          </w:tcPr>
          <w:p w14:paraId="3C2D96CF" w14:textId="77777777" w:rsidR="008613C2" w:rsidRDefault="008613C2" w:rsidP="008613C2">
            <w:pPr>
              <w:ind w:firstLine="0"/>
              <w:jc w:val="center"/>
              <w:rPr>
                <w:szCs w:val="24"/>
              </w:rPr>
            </w:pPr>
          </w:p>
        </w:tc>
        <w:tc>
          <w:tcPr>
            <w:tcW w:w="1372" w:type="dxa"/>
          </w:tcPr>
          <w:p w14:paraId="3BFF4AAE" w14:textId="77777777" w:rsidR="008613C2" w:rsidRDefault="008613C2" w:rsidP="008613C2">
            <w:pPr>
              <w:ind w:firstLine="0"/>
              <w:jc w:val="center"/>
              <w:rPr>
                <w:szCs w:val="24"/>
              </w:rPr>
            </w:pPr>
            <w:r>
              <w:rPr>
                <w:szCs w:val="24"/>
              </w:rPr>
              <w:t>33</w:t>
            </w:r>
          </w:p>
        </w:tc>
      </w:tr>
      <w:tr w:rsidR="008613C2" w14:paraId="1C2AA78D" w14:textId="77777777" w:rsidTr="008613C2">
        <w:trPr>
          <w:trHeight w:val="280"/>
        </w:trPr>
        <w:tc>
          <w:tcPr>
            <w:tcW w:w="3353" w:type="dxa"/>
          </w:tcPr>
          <w:p w14:paraId="0C17A484" w14:textId="77777777" w:rsidR="008613C2" w:rsidRDefault="008613C2" w:rsidP="008613C2">
            <w:pPr>
              <w:ind w:firstLine="0"/>
              <w:rPr>
                <w:szCs w:val="24"/>
              </w:rPr>
            </w:pPr>
          </w:p>
        </w:tc>
        <w:tc>
          <w:tcPr>
            <w:tcW w:w="1525" w:type="dxa"/>
          </w:tcPr>
          <w:p w14:paraId="020F1B1F" w14:textId="77777777" w:rsidR="008613C2" w:rsidRDefault="008613C2" w:rsidP="008613C2">
            <w:pPr>
              <w:ind w:firstLine="0"/>
              <w:jc w:val="center"/>
              <w:rPr>
                <w:szCs w:val="24"/>
              </w:rPr>
            </w:pPr>
          </w:p>
        </w:tc>
        <w:tc>
          <w:tcPr>
            <w:tcW w:w="708" w:type="dxa"/>
          </w:tcPr>
          <w:p w14:paraId="18902C76" w14:textId="77777777" w:rsidR="008613C2" w:rsidRDefault="008613C2" w:rsidP="008613C2">
            <w:pPr>
              <w:ind w:firstLine="0"/>
              <w:jc w:val="center"/>
              <w:rPr>
                <w:szCs w:val="24"/>
              </w:rPr>
            </w:pPr>
          </w:p>
        </w:tc>
        <w:tc>
          <w:tcPr>
            <w:tcW w:w="1388" w:type="dxa"/>
          </w:tcPr>
          <w:p w14:paraId="6E06672F" w14:textId="77777777" w:rsidR="008613C2" w:rsidRDefault="008613C2" w:rsidP="008613C2">
            <w:pPr>
              <w:ind w:firstLine="0"/>
              <w:jc w:val="center"/>
              <w:rPr>
                <w:szCs w:val="24"/>
              </w:rPr>
            </w:pPr>
          </w:p>
        </w:tc>
        <w:tc>
          <w:tcPr>
            <w:tcW w:w="646" w:type="dxa"/>
          </w:tcPr>
          <w:p w14:paraId="06B16F63" w14:textId="77777777" w:rsidR="008613C2" w:rsidRDefault="008613C2" w:rsidP="008613C2">
            <w:pPr>
              <w:ind w:firstLine="0"/>
              <w:jc w:val="center"/>
              <w:rPr>
                <w:szCs w:val="24"/>
              </w:rPr>
            </w:pPr>
          </w:p>
        </w:tc>
        <w:tc>
          <w:tcPr>
            <w:tcW w:w="1372" w:type="dxa"/>
          </w:tcPr>
          <w:p w14:paraId="600ADF70" w14:textId="77777777" w:rsidR="008613C2" w:rsidRDefault="008613C2" w:rsidP="008613C2">
            <w:pPr>
              <w:ind w:firstLine="0"/>
              <w:jc w:val="center"/>
              <w:rPr>
                <w:szCs w:val="24"/>
              </w:rPr>
            </w:pPr>
          </w:p>
        </w:tc>
      </w:tr>
      <w:tr w:rsidR="008613C2" w14:paraId="1FABA768" w14:textId="77777777" w:rsidTr="008613C2">
        <w:trPr>
          <w:trHeight w:val="280"/>
        </w:trPr>
        <w:tc>
          <w:tcPr>
            <w:tcW w:w="3353" w:type="dxa"/>
          </w:tcPr>
          <w:p w14:paraId="2B6A9A39" w14:textId="77777777" w:rsidR="008613C2" w:rsidRDefault="008613C2" w:rsidP="008613C2">
            <w:pPr>
              <w:ind w:firstLine="0"/>
              <w:rPr>
                <w:szCs w:val="24"/>
              </w:rPr>
            </w:pPr>
            <w:r>
              <w:rPr>
                <w:szCs w:val="24"/>
              </w:rPr>
              <w:t>Total</w:t>
            </w:r>
          </w:p>
        </w:tc>
        <w:tc>
          <w:tcPr>
            <w:tcW w:w="1525" w:type="dxa"/>
          </w:tcPr>
          <w:p w14:paraId="33AB59EB" w14:textId="77777777" w:rsidR="008613C2" w:rsidRDefault="008613C2" w:rsidP="008613C2">
            <w:pPr>
              <w:ind w:firstLine="0"/>
              <w:jc w:val="center"/>
              <w:rPr>
                <w:szCs w:val="24"/>
              </w:rPr>
            </w:pPr>
            <w:r>
              <w:rPr>
                <w:szCs w:val="24"/>
              </w:rPr>
              <w:t>104</w:t>
            </w:r>
          </w:p>
        </w:tc>
        <w:tc>
          <w:tcPr>
            <w:tcW w:w="708" w:type="dxa"/>
          </w:tcPr>
          <w:p w14:paraId="4FA564B6" w14:textId="77777777" w:rsidR="008613C2" w:rsidRDefault="008613C2" w:rsidP="008613C2">
            <w:pPr>
              <w:ind w:firstLine="0"/>
              <w:jc w:val="center"/>
              <w:rPr>
                <w:szCs w:val="24"/>
              </w:rPr>
            </w:pPr>
          </w:p>
        </w:tc>
        <w:tc>
          <w:tcPr>
            <w:tcW w:w="1388" w:type="dxa"/>
          </w:tcPr>
          <w:p w14:paraId="171579E1" w14:textId="77777777" w:rsidR="008613C2" w:rsidRDefault="008613C2" w:rsidP="008613C2">
            <w:pPr>
              <w:ind w:firstLine="0"/>
              <w:jc w:val="center"/>
              <w:rPr>
                <w:szCs w:val="24"/>
              </w:rPr>
            </w:pPr>
            <w:r>
              <w:rPr>
                <w:szCs w:val="24"/>
              </w:rPr>
              <w:t>82</w:t>
            </w:r>
          </w:p>
        </w:tc>
        <w:tc>
          <w:tcPr>
            <w:tcW w:w="646" w:type="dxa"/>
          </w:tcPr>
          <w:p w14:paraId="2DF16576" w14:textId="77777777" w:rsidR="008613C2" w:rsidRDefault="008613C2" w:rsidP="008613C2">
            <w:pPr>
              <w:ind w:firstLine="0"/>
              <w:jc w:val="center"/>
              <w:rPr>
                <w:szCs w:val="24"/>
              </w:rPr>
            </w:pPr>
          </w:p>
        </w:tc>
        <w:tc>
          <w:tcPr>
            <w:tcW w:w="1372" w:type="dxa"/>
          </w:tcPr>
          <w:p w14:paraId="20CE269A" w14:textId="77777777" w:rsidR="008613C2" w:rsidRDefault="008613C2" w:rsidP="008613C2">
            <w:pPr>
              <w:ind w:firstLine="0"/>
              <w:jc w:val="center"/>
              <w:rPr>
                <w:szCs w:val="24"/>
              </w:rPr>
            </w:pPr>
            <w:r>
              <w:rPr>
                <w:szCs w:val="24"/>
              </w:rPr>
              <w:t>186</w:t>
            </w:r>
          </w:p>
        </w:tc>
      </w:tr>
      <w:tr w:rsidR="008613C2" w14:paraId="46D1E0CF" w14:textId="77777777" w:rsidTr="008613C2">
        <w:trPr>
          <w:trHeight w:val="280"/>
        </w:trPr>
        <w:tc>
          <w:tcPr>
            <w:tcW w:w="3353" w:type="dxa"/>
          </w:tcPr>
          <w:p w14:paraId="174202DF" w14:textId="77777777" w:rsidR="008613C2" w:rsidRDefault="008613C2" w:rsidP="008613C2">
            <w:pPr>
              <w:ind w:firstLine="0"/>
              <w:rPr>
                <w:szCs w:val="24"/>
              </w:rPr>
            </w:pPr>
          </w:p>
        </w:tc>
        <w:tc>
          <w:tcPr>
            <w:tcW w:w="1525" w:type="dxa"/>
          </w:tcPr>
          <w:p w14:paraId="5A74E06E" w14:textId="77777777" w:rsidR="008613C2" w:rsidRDefault="008613C2" w:rsidP="008613C2">
            <w:pPr>
              <w:ind w:firstLine="0"/>
              <w:jc w:val="center"/>
              <w:rPr>
                <w:szCs w:val="24"/>
              </w:rPr>
            </w:pPr>
            <w:r>
              <w:rPr>
                <w:szCs w:val="24"/>
              </w:rPr>
              <w:t>100%</w:t>
            </w:r>
          </w:p>
        </w:tc>
        <w:tc>
          <w:tcPr>
            <w:tcW w:w="708" w:type="dxa"/>
          </w:tcPr>
          <w:p w14:paraId="50D2B75F" w14:textId="77777777" w:rsidR="008613C2" w:rsidRDefault="008613C2" w:rsidP="008613C2">
            <w:pPr>
              <w:ind w:firstLine="0"/>
              <w:jc w:val="center"/>
              <w:rPr>
                <w:szCs w:val="24"/>
              </w:rPr>
            </w:pPr>
          </w:p>
        </w:tc>
        <w:tc>
          <w:tcPr>
            <w:tcW w:w="1388" w:type="dxa"/>
          </w:tcPr>
          <w:p w14:paraId="3ED1A86E" w14:textId="77777777" w:rsidR="008613C2" w:rsidRDefault="008613C2" w:rsidP="008613C2">
            <w:pPr>
              <w:ind w:firstLine="0"/>
              <w:jc w:val="center"/>
              <w:rPr>
                <w:szCs w:val="24"/>
              </w:rPr>
            </w:pPr>
            <w:r>
              <w:rPr>
                <w:szCs w:val="24"/>
              </w:rPr>
              <w:t>100%</w:t>
            </w:r>
          </w:p>
        </w:tc>
        <w:tc>
          <w:tcPr>
            <w:tcW w:w="646" w:type="dxa"/>
          </w:tcPr>
          <w:p w14:paraId="0C37538A" w14:textId="77777777" w:rsidR="008613C2" w:rsidRDefault="008613C2" w:rsidP="008613C2">
            <w:pPr>
              <w:ind w:firstLine="0"/>
              <w:jc w:val="center"/>
              <w:rPr>
                <w:szCs w:val="24"/>
              </w:rPr>
            </w:pPr>
          </w:p>
        </w:tc>
        <w:tc>
          <w:tcPr>
            <w:tcW w:w="1372" w:type="dxa"/>
          </w:tcPr>
          <w:p w14:paraId="418C84DD" w14:textId="77777777" w:rsidR="008613C2" w:rsidRDefault="008613C2" w:rsidP="008613C2">
            <w:pPr>
              <w:ind w:firstLine="0"/>
              <w:jc w:val="center"/>
              <w:rPr>
                <w:szCs w:val="24"/>
              </w:rPr>
            </w:pPr>
          </w:p>
        </w:tc>
      </w:tr>
    </w:tbl>
    <w:p w14:paraId="47350F78" w14:textId="77777777" w:rsidR="00997091" w:rsidRDefault="00997091" w:rsidP="007F68D7">
      <w:pPr>
        <w:ind w:firstLine="0"/>
        <w:rPr>
          <w:szCs w:val="24"/>
        </w:rPr>
      </w:pPr>
    </w:p>
    <w:p w14:paraId="7033B285" w14:textId="77777777" w:rsidR="008613C2" w:rsidRDefault="00EB1C2D" w:rsidP="00EB1C2D">
      <w:pPr>
        <w:ind w:firstLine="0"/>
      </w:pPr>
      <w:r w:rsidRPr="008926E1">
        <w:rPr>
          <w:b/>
        </w:rPr>
        <w:t xml:space="preserve">Table </w:t>
      </w:r>
      <w:r w:rsidR="003366AF">
        <w:rPr>
          <w:b/>
        </w:rPr>
        <w:t>2</w:t>
      </w:r>
      <w:r>
        <w:t xml:space="preserve">. </w:t>
      </w:r>
    </w:p>
    <w:p w14:paraId="599F5099" w14:textId="0A54869D" w:rsidR="00EB1C2D" w:rsidRDefault="00EB1C2D" w:rsidP="00EB1C2D">
      <w:pPr>
        <w:ind w:firstLine="0"/>
        <w:rPr>
          <w:szCs w:val="24"/>
        </w:rPr>
      </w:pPr>
      <w:r w:rsidRPr="008010EB">
        <w:rPr>
          <w:rFonts w:eastAsia="Times New Roman" w:cs="Times New Roman"/>
          <w:color w:val="000000"/>
          <w:szCs w:val="24"/>
          <w:lang w:val="en-GB" w:eastAsia="en-GB"/>
        </w:rPr>
        <w:t xml:space="preserve">The </w:t>
      </w:r>
      <w:r w:rsidR="00996CD0">
        <w:rPr>
          <w:rFonts w:eastAsia="Times New Roman" w:cs="Times New Roman"/>
          <w:color w:val="000000"/>
          <w:szCs w:val="24"/>
          <w:lang w:val="en-GB" w:eastAsia="en-GB"/>
        </w:rPr>
        <w:t>e</w:t>
      </w:r>
      <w:r w:rsidR="00506544">
        <w:rPr>
          <w:rFonts w:eastAsia="Times New Roman" w:cs="Times New Roman"/>
          <w:color w:val="000000"/>
          <w:szCs w:val="24"/>
          <w:lang w:val="en-GB" w:eastAsia="en-GB"/>
        </w:rPr>
        <w:t xml:space="preserve">mphasis between </w:t>
      </w:r>
      <w:r w:rsidR="00996CD0">
        <w:rPr>
          <w:rFonts w:eastAsia="Times New Roman" w:cs="Times New Roman"/>
          <w:color w:val="000000"/>
          <w:szCs w:val="24"/>
          <w:lang w:val="en-GB" w:eastAsia="en-GB"/>
        </w:rPr>
        <w:t>p</w:t>
      </w:r>
      <w:r w:rsidR="00506544">
        <w:rPr>
          <w:rFonts w:eastAsia="Times New Roman" w:cs="Times New Roman"/>
          <w:color w:val="000000"/>
          <w:szCs w:val="24"/>
          <w:lang w:val="en-GB" w:eastAsia="en-GB"/>
        </w:rPr>
        <w:t xml:space="preserve">ositive and </w:t>
      </w:r>
      <w:r w:rsidR="00996CD0">
        <w:rPr>
          <w:rFonts w:eastAsia="Times New Roman" w:cs="Times New Roman"/>
          <w:color w:val="000000"/>
          <w:szCs w:val="24"/>
          <w:lang w:val="en-GB" w:eastAsia="en-GB"/>
        </w:rPr>
        <w:t>n</w:t>
      </w:r>
      <w:r w:rsidR="00506544">
        <w:rPr>
          <w:rFonts w:eastAsia="Times New Roman" w:cs="Times New Roman"/>
          <w:color w:val="000000"/>
          <w:szCs w:val="24"/>
          <w:lang w:val="en-GB" w:eastAsia="en-GB"/>
        </w:rPr>
        <w:t xml:space="preserve">egative </w:t>
      </w:r>
      <w:r w:rsidR="00996CD0">
        <w:rPr>
          <w:rFonts w:eastAsia="Times New Roman" w:cs="Times New Roman"/>
          <w:color w:val="000000"/>
          <w:szCs w:val="24"/>
          <w:lang w:val="en-GB" w:eastAsia="en-GB"/>
        </w:rPr>
        <w:t>e</w:t>
      </w:r>
      <w:r w:rsidR="00506544">
        <w:rPr>
          <w:rFonts w:eastAsia="Times New Roman" w:cs="Times New Roman"/>
          <w:color w:val="000000"/>
          <w:szCs w:val="24"/>
          <w:lang w:val="en-GB" w:eastAsia="en-GB"/>
        </w:rPr>
        <w:t xml:space="preserve">xperiences in </w:t>
      </w:r>
      <w:r w:rsidR="00996CD0">
        <w:rPr>
          <w:rFonts w:eastAsia="Times New Roman" w:cs="Times New Roman"/>
          <w:color w:val="000000"/>
          <w:szCs w:val="24"/>
          <w:lang w:val="en-GB" w:eastAsia="en-GB"/>
        </w:rPr>
        <w:t>p</w:t>
      </w:r>
      <w:r w:rsidR="00506544">
        <w:rPr>
          <w:rFonts w:eastAsia="Times New Roman" w:cs="Times New Roman"/>
          <w:color w:val="000000"/>
          <w:szCs w:val="24"/>
          <w:lang w:val="en-GB" w:eastAsia="en-GB"/>
        </w:rPr>
        <w:t xml:space="preserve">eer interaction, </w:t>
      </w:r>
      <w:r w:rsidR="00996CD0">
        <w:rPr>
          <w:rFonts w:eastAsia="Times New Roman" w:cs="Times New Roman"/>
          <w:color w:val="000000"/>
          <w:szCs w:val="24"/>
          <w:lang w:val="en-GB" w:eastAsia="en-GB"/>
        </w:rPr>
        <w:t>s</w:t>
      </w:r>
      <w:r w:rsidR="00506544">
        <w:rPr>
          <w:rFonts w:eastAsia="Times New Roman" w:cs="Times New Roman"/>
          <w:color w:val="000000"/>
          <w:szCs w:val="24"/>
          <w:lang w:val="en-GB" w:eastAsia="en-GB"/>
        </w:rPr>
        <w:t>tudent</w:t>
      </w:r>
      <w:r w:rsidR="00506544" w:rsidRPr="00EE4066">
        <w:rPr>
          <w:rFonts w:eastAsia="Times New Roman" w:cs="Times New Roman"/>
          <w:color w:val="000000"/>
          <w:szCs w:val="24"/>
          <w:lang w:val="en-GB" w:eastAsia="en-GB"/>
        </w:rPr>
        <w:t>–</w:t>
      </w:r>
      <w:r w:rsidR="00996CD0">
        <w:rPr>
          <w:rFonts w:eastAsia="Times New Roman" w:cs="Times New Roman"/>
          <w:color w:val="000000"/>
          <w:szCs w:val="24"/>
          <w:lang w:val="en-GB" w:eastAsia="en-GB"/>
        </w:rPr>
        <w:t>t</w:t>
      </w:r>
      <w:r w:rsidR="00506544">
        <w:rPr>
          <w:rFonts w:eastAsia="Times New Roman" w:cs="Times New Roman"/>
          <w:color w:val="000000"/>
          <w:szCs w:val="24"/>
          <w:lang w:val="en-GB" w:eastAsia="en-GB"/>
        </w:rPr>
        <w:t xml:space="preserve">eacher interaction and </w:t>
      </w:r>
      <w:r w:rsidR="00996CD0">
        <w:rPr>
          <w:rFonts w:eastAsia="Times New Roman" w:cs="Times New Roman"/>
          <w:color w:val="000000"/>
          <w:szCs w:val="24"/>
          <w:lang w:val="en-GB" w:eastAsia="en-GB"/>
        </w:rPr>
        <w:t>s</w:t>
      </w:r>
      <w:r w:rsidR="00506544">
        <w:rPr>
          <w:rFonts w:eastAsia="Times New Roman" w:cs="Times New Roman"/>
          <w:color w:val="000000"/>
          <w:szCs w:val="24"/>
          <w:lang w:val="en-GB" w:eastAsia="en-GB"/>
        </w:rPr>
        <w:t xml:space="preserve">tudying </w:t>
      </w:r>
    </w:p>
    <w:p w14:paraId="1C74775A" w14:textId="77777777" w:rsidR="00EB1C2D" w:rsidRDefault="00EB1C2D" w:rsidP="007F68D7">
      <w:pPr>
        <w:ind w:firstLine="0"/>
        <w:rPr>
          <w:szCs w:val="24"/>
        </w:rPr>
      </w:pPr>
    </w:p>
    <w:tbl>
      <w:tblPr>
        <w:tblStyle w:val="TableGrid"/>
        <w:tblpPr w:leftFromText="180" w:rightFromText="180" w:vertAnchor="text" w:horzAnchor="margin" w:tblpY="-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1525"/>
        <w:gridCol w:w="708"/>
        <w:gridCol w:w="1388"/>
        <w:gridCol w:w="646"/>
        <w:gridCol w:w="1372"/>
      </w:tblGrid>
      <w:tr w:rsidR="008613C2" w14:paraId="2162CC87" w14:textId="77777777" w:rsidTr="0011182C">
        <w:trPr>
          <w:trHeight w:val="561"/>
        </w:trPr>
        <w:tc>
          <w:tcPr>
            <w:tcW w:w="3353" w:type="dxa"/>
            <w:tcBorders>
              <w:top w:val="single" w:sz="4" w:space="0" w:color="auto"/>
              <w:bottom w:val="single" w:sz="4" w:space="0" w:color="auto"/>
            </w:tcBorders>
          </w:tcPr>
          <w:p w14:paraId="2C4760C7" w14:textId="77777777" w:rsidR="008613C2" w:rsidRDefault="008613C2" w:rsidP="0011182C">
            <w:pPr>
              <w:ind w:firstLine="0"/>
              <w:rPr>
                <w:szCs w:val="24"/>
              </w:rPr>
            </w:pPr>
          </w:p>
        </w:tc>
        <w:tc>
          <w:tcPr>
            <w:tcW w:w="1525" w:type="dxa"/>
            <w:tcBorders>
              <w:top w:val="single" w:sz="4" w:space="0" w:color="auto"/>
              <w:bottom w:val="single" w:sz="4" w:space="0" w:color="auto"/>
            </w:tcBorders>
          </w:tcPr>
          <w:p w14:paraId="49586C10" w14:textId="77777777" w:rsidR="008613C2" w:rsidRDefault="008613C2" w:rsidP="0011182C">
            <w:pPr>
              <w:ind w:firstLine="0"/>
              <w:jc w:val="center"/>
              <w:rPr>
                <w:szCs w:val="24"/>
              </w:rPr>
            </w:pPr>
            <w:r>
              <w:rPr>
                <w:szCs w:val="24"/>
              </w:rPr>
              <w:t>Positive Experiences</w:t>
            </w:r>
          </w:p>
        </w:tc>
        <w:tc>
          <w:tcPr>
            <w:tcW w:w="708" w:type="dxa"/>
            <w:tcBorders>
              <w:top w:val="single" w:sz="4" w:space="0" w:color="auto"/>
              <w:bottom w:val="single" w:sz="4" w:space="0" w:color="auto"/>
            </w:tcBorders>
          </w:tcPr>
          <w:p w14:paraId="60367D60" w14:textId="77777777" w:rsidR="008613C2" w:rsidRDefault="008613C2" w:rsidP="0011182C">
            <w:pPr>
              <w:ind w:firstLine="0"/>
              <w:jc w:val="center"/>
              <w:rPr>
                <w:szCs w:val="24"/>
              </w:rPr>
            </w:pPr>
          </w:p>
        </w:tc>
        <w:tc>
          <w:tcPr>
            <w:tcW w:w="1388" w:type="dxa"/>
            <w:tcBorders>
              <w:top w:val="single" w:sz="4" w:space="0" w:color="auto"/>
              <w:bottom w:val="single" w:sz="4" w:space="0" w:color="auto"/>
            </w:tcBorders>
          </w:tcPr>
          <w:p w14:paraId="2574A45E" w14:textId="77777777" w:rsidR="008613C2" w:rsidRDefault="008613C2" w:rsidP="0011182C">
            <w:pPr>
              <w:ind w:firstLine="0"/>
              <w:jc w:val="center"/>
              <w:rPr>
                <w:szCs w:val="24"/>
              </w:rPr>
            </w:pPr>
            <w:r>
              <w:rPr>
                <w:szCs w:val="24"/>
              </w:rPr>
              <w:t>Negative Experiences</w:t>
            </w:r>
          </w:p>
        </w:tc>
        <w:tc>
          <w:tcPr>
            <w:tcW w:w="646" w:type="dxa"/>
            <w:tcBorders>
              <w:top w:val="single" w:sz="4" w:space="0" w:color="auto"/>
              <w:bottom w:val="single" w:sz="4" w:space="0" w:color="auto"/>
            </w:tcBorders>
          </w:tcPr>
          <w:p w14:paraId="06D2717C" w14:textId="77777777" w:rsidR="008613C2" w:rsidRDefault="008613C2" w:rsidP="0011182C">
            <w:pPr>
              <w:ind w:firstLine="0"/>
              <w:jc w:val="center"/>
              <w:rPr>
                <w:szCs w:val="24"/>
              </w:rPr>
            </w:pPr>
          </w:p>
        </w:tc>
        <w:tc>
          <w:tcPr>
            <w:tcW w:w="1372" w:type="dxa"/>
            <w:tcBorders>
              <w:top w:val="single" w:sz="4" w:space="0" w:color="auto"/>
              <w:bottom w:val="single" w:sz="4" w:space="0" w:color="auto"/>
            </w:tcBorders>
          </w:tcPr>
          <w:p w14:paraId="52585286" w14:textId="77777777" w:rsidR="008613C2" w:rsidRDefault="008613C2" w:rsidP="0011182C">
            <w:pPr>
              <w:ind w:firstLine="0"/>
              <w:jc w:val="center"/>
              <w:rPr>
                <w:szCs w:val="24"/>
              </w:rPr>
            </w:pPr>
            <w:r>
              <w:rPr>
                <w:szCs w:val="24"/>
              </w:rPr>
              <w:t>Total</w:t>
            </w:r>
          </w:p>
        </w:tc>
      </w:tr>
      <w:tr w:rsidR="008613C2" w14:paraId="66D3B5C8" w14:textId="77777777" w:rsidTr="0011182C">
        <w:trPr>
          <w:trHeight w:val="264"/>
        </w:trPr>
        <w:tc>
          <w:tcPr>
            <w:tcW w:w="3353" w:type="dxa"/>
            <w:tcBorders>
              <w:top w:val="single" w:sz="4" w:space="0" w:color="auto"/>
            </w:tcBorders>
          </w:tcPr>
          <w:p w14:paraId="664D1575" w14:textId="77777777" w:rsidR="008613C2" w:rsidRDefault="008613C2" w:rsidP="0011182C">
            <w:pPr>
              <w:ind w:firstLine="0"/>
              <w:rPr>
                <w:szCs w:val="24"/>
              </w:rPr>
            </w:pPr>
          </w:p>
        </w:tc>
        <w:tc>
          <w:tcPr>
            <w:tcW w:w="1525" w:type="dxa"/>
            <w:tcBorders>
              <w:top w:val="single" w:sz="4" w:space="0" w:color="auto"/>
            </w:tcBorders>
          </w:tcPr>
          <w:p w14:paraId="363D0F1C" w14:textId="77777777" w:rsidR="008613C2" w:rsidRDefault="008613C2" w:rsidP="0011182C">
            <w:pPr>
              <w:ind w:firstLine="0"/>
              <w:rPr>
                <w:szCs w:val="24"/>
              </w:rPr>
            </w:pPr>
          </w:p>
        </w:tc>
        <w:tc>
          <w:tcPr>
            <w:tcW w:w="708" w:type="dxa"/>
            <w:tcBorders>
              <w:top w:val="single" w:sz="4" w:space="0" w:color="auto"/>
            </w:tcBorders>
          </w:tcPr>
          <w:p w14:paraId="5F796456" w14:textId="77777777" w:rsidR="008613C2" w:rsidRDefault="008613C2" w:rsidP="0011182C">
            <w:pPr>
              <w:ind w:firstLine="0"/>
              <w:rPr>
                <w:szCs w:val="24"/>
              </w:rPr>
            </w:pPr>
          </w:p>
        </w:tc>
        <w:tc>
          <w:tcPr>
            <w:tcW w:w="1388" w:type="dxa"/>
            <w:tcBorders>
              <w:top w:val="single" w:sz="4" w:space="0" w:color="auto"/>
            </w:tcBorders>
          </w:tcPr>
          <w:p w14:paraId="4F0B15CD" w14:textId="77777777" w:rsidR="008613C2" w:rsidRDefault="008613C2" w:rsidP="0011182C">
            <w:pPr>
              <w:ind w:firstLine="0"/>
              <w:rPr>
                <w:szCs w:val="24"/>
              </w:rPr>
            </w:pPr>
          </w:p>
        </w:tc>
        <w:tc>
          <w:tcPr>
            <w:tcW w:w="646" w:type="dxa"/>
            <w:tcBorders>
              <w:top w:val="single" w:sz="4" w:space="0" w:color="auto"/>
            </w:tcBorders>
          </w:tcPr>
          <w:p w14:paraId="77503C26" w14:textId="77777777" w:rsidR="008613C2" w:rsidRDefault="008613C2" w:rsidP="0011182C">
            <w:pPr>
              <w:ind w:firstLine="0"/>
              <w:rPr>
                <w:szCs w:val="24"/>
              </w:rPr>
            </w:pPr>
          </w:p>
        </w:tc>
        <w:tc>
          <w:tcPr>
            <w:tcW w:w="1372" w:type="dxa"/>
            <w:tcBorders>
              <w:top w:val="single" w:sz="4" w:space="0" w:color="auto"/>
            </w:tcBorders>
          </w:tcPr>
          <w:p w14:paraId="5C208679" w14:textId="77777777" w:rsidR="008613C2" w:rsidRDefault="008613C2" w:rsidP="0011182C">
            <w:pPr>
              <w:ind w:firstLine="0"/>
              <w:rPr>
                <w:szCs w:val="24"/>
              </w:rPr>
            </w:pPr>
          </w:p>
        </w:tc>
      </w:tr>
      <w:tr w:rsidR="008613C2" w14:paraId="78B3933D" w14:textId="77777777" w:rsidTr="0011182C">
        <w:trPr>
          <w:trHeight w:val="561"/>
        </w:trPr>
        <w:tc>
          <w:tcPr>
            <w:tcW w:w="3353" w:type="dxa"/>
          </w:tcPr>
          <w:p w14:paraId="62F1B416" w14:textId="77777777" w:rsidR="008613C2" w:rsidRDefault="008613C2" w:rsidP="0011182C">
            <w:pPr>
              <w:ind w:firstLine="0"/>
              <w:rPr>
                <w:szCs w:val="24"/>
              </w:rPr>
            </w:pPr>
            <w:r w:rsidRPr="00EE4066">
              <w:rPr>
                <w:rFonts w:eastAsia="Times New Roman" w:cs="Times New Roman"/>
                <w:color w:val="000000"/>
                <w:szCs w:val="24"/>
                <w:lang w:val="en-GB" w:eastAsia="en-GB"/>
              </w:rPr>
              <w:t>Emotional engagement in peer interaction (n)</w:t>
            </w:r>
          </w:p>
        </w:tc>
        <w:tc>
          <w:tcPr>
            <w:tcW w:w="1525" w:type="dxa"/>
          </w:tcPr>
          <w:p w14:paraId="6D96A88D" w14:textId="77777777" w:rsidR="008613C2" w:rsidRDefault="008613C2" w:rsidP="0011182C">
            <w:pPr>
              <w:ind w:firstLine="0"/>
              <w:jc w:val="center"/>
              <w:rPr>
                <w:szCs w:val="24"/>
              </w:rPr>
            </w:pPr>
            <w:r>
              <w:rPr>
                <w:szCs w:val="24"/>
              </w:rPr>
              <w:t>68</w:t>
            </w:r>
          </w:p>
          <w:p w14:paraId="47CD0D07" w14:textId="28C060D9" w:rsidR="008613C2" w:rsidRDefault="008613C2" w:rsidP="0011182C">
            <w:pPr>
              <w:ind w:firstLine="0"/>
              <w:jc w:val="center"/>
              <w:rPr>
                <w:szCs w:val="24"/>
              </w:rPr>
            </w:pPr>
            <w:r>
              <w:rPr>
                <w:szCs w:val="24"/>
              </w:rPr>
              <w:t>59</w:t>
            </w:r>
            <w:r>
              <w:rPr>
                <w:szCs w:val="24"/>
              </w:rPr>
              <w:t>%</w:t>
            </w:r>
          </w:p>
        </w:tc>
        <w:tc>
          <w:tcPr>
            <w:tcW w:w="708" w:type="dxa"/>
          </w:tcPr>
          <w:p w14:paraId="20799D49" w14:textId="77777777" w:rsidR="008613C2" w:rsidRDefault="008613C2" w:rsidP="0011182C">
            <w:pPr>
              <w:ind w:firstLine="0"/>
              <w:jc w:val="center"/>
              <w:rPr>
                <w:szCs w:val="24"/>
              </w:rPr>
            </w:pPr>
          </w:p>
        </w:tc>
        <w:tc>
          <w:tcPr>
            <w:tcW w:w="1388" w:type="dxa"/>
          </w:tcPr>
          <w:p w14:paraId="7493C7E4" w14:textId="77777777" w:rsidR="008613C2" w:rsidRDefault="008613C2" w:rsidP="0011182C">
            <w:pPr>
              <w:ind w:firstLine="0"/>
              <w:jc w:val="center"/>
              <w:rPr>
                <w:szCs w:val="24"/>
              </w:rPr>
            </w:pPr>
            <w:r>
              <w:rPr>
                <w:szCs w:val="24"/>
              </w:rPr>
              <w:t>47</w:t>
            </w:r>
          </w:p>
          <w:p w14:paraId="646875E1" w14:textId="5A84550C" w:rsidR="008613C2" w:rsidRDefault="008613C2" w:rsidP="0011182C">
            <w:pPr>
              <w:ind w:firstLine="0"/>
              <w:jc w:val="center"/>
              <w:rPr>
                <w:szCs w:val="24"/>
              </w:rPr>
            </w:pPr>
            <w:r>
              <w:rPr>
                <w:szCs w:val="24"/>
              </w:rPr>
              <w:t>41</w:t>
            </w:r>
            <w:r>
              <w:rPr>
                <w:szCs w:val="24"/>
              </w:rPr>
              <w:t>%</w:t>
            </w:r>
          </w:p>
        </w:tc>
        <w:tc>
          <w:tcPr>
            <w:tcW w:w="646" w:type="dxa"/>
          </w:tcPr>
          <w:p w14:paraId="167F22EA" w14:textId="77777777" w:rsidR="008613C2" w:rsidRDefault="008613C2" w:rsidP="0011182C">
            <w:pPr>
              <w:ind w:firstLine="0"/>
              <w:jc w:val="center"/>
              <w:rPr>
                <w:szCs w:val="24"/>
              </w:rPr>
            </w:pPr>
          </w:p>
        </w:tc>
        <w:tc>
          <w:tcPr>
            <w:tcW w:w="1372" w:type="dxa"/>
          </w:tcPr>
          <w:p w14:paraId="21BF875A" w14:textId="77777777" w:rsidR="008613C2" w:rsidRDefault="008613C2" w:rsidP="0011182C">
            <w:pPr>
              <w:ind w:firstLine="0"/>
              <w:jc w:val="center"/>
              <w:rPr>
                <w:szCs w:val="24"/>
              </w:rPr>
            </w:pPr>
            <w:r>
              <w:rPr>
                <w:szCs w:val="24"/>
              </w:rPr>
              <w:t>115</w:t>
            </w:r>
          </w:p>
          <w:p w14:paraId="266B2D3F" w14:textId="4BB840F1" w:rsidR="008613C2" w:rsidRDefault="008613C2" w:rsidP="0011182C">
            <w:pPr>
              <w:ind w:firstLine="0"/>
              <w:jc w:val="center"/>
              <w:rPr>
                <w:szCs w:val="24"/>
              </w:rPr>
            </w:pPr>
            <w:r>
              <w:rPr>
                <w:szCs w:val="24"/>
              </w:rPr>
              <w:t>100%</w:t>
            </w:r>
          </w:p>
        </w:tc>
      </w:tr>
      <w:tr w:rsidR="008613C2" w14:paraId="6686EC64" w14:textId="77777777" w:rsidTr="0011182C">
        <w:trPr>
          <w:trHeight w:val="280"/>
        </w:trPr>
        <w:tc>
          <w:tcPr>
            <w:tcW w:w="3353" w:type="dxa"/>
          </w:tcPr>
          <w:p w14:paraId="1C2484B2" w14:textId="77777777" w:rsidR="008613C2" w:rsidRDefault="008613C2" w:rsidP="0011182C">
            <w:pPr>
              <w:ind w:firstLine="0"/>
              <w:rPr>
                <w:szCs w:val="24"/>
              </w:rPr>
            </w:pPr>
          </w:p>
        </w:tc>
        <w:tc>
          <w:tcPr>
            <w:tcW w:w="1525" w:type="dxa"/>
          </w:tcPr>
          <w:p w14:paraId="40036C1E" w14:textId="77777777" w:rsidR="008613C2" w:rsidRDefault="008613C2" w:rsidP="0011182C">
            <w:pPr>
              <w:ind w:firstLine="0"/>
              <w:jc w:val="center"/>
              <w:rPr>
                <w:szCs w:val="24"/>
              </w:rPr>
            </w:pPr>
          </w:p>
        </w:tc>
        <w:tc>
          <w:tcPr>
            <w:tcW w:w="708" w:type="dxa"/>
          </w:tcPr>
          <w:p w14:paraId="5E57915D" w14:textId="77777777" w:rsidR="008613C2" w:rsidRDefault="008613C2" w:rsidP="0011182C">
            <w:pPr>
              <w:ind w:firstLine="0"/>
              <w:jc w:val="center"/>
              <w:rPr>
                <w:szCs w:val="24"/>
              </w:rPr>
            </w:pPr>
          </w:p>
        </w:tc>
        <w:tc>
          <w:tcPr>
            <w:tcW w:w="1388" w:type="dxa"/>
          </w:tcPr>
          <w:p w14:paraId="60708E26" w14:textId="77777777" w:rsidR="008613C2" w:rsidRDefault="008613C2" w:rsidP="0011182C">
            <w:pPr>
              <w:ind w:firstLine="0"/>
              <w:jc w:val="center"/>
              <w:rPr>
                <w:szCs w:val="24"/>
              </w:rPr>
            </w:pPr>
          </w:p>
        </w:tc>
        <w:tc>
          <w:tcPr>
            <w:tcW w:w="646" w:type="dxa"/>
          </w:tcPr>
          <w:p w14:paraId="590A4130" w14:textId="77777777" w:rsidR="008613C2" w:rsidRDefault="008613C2" w:rsidP="0011182C">
            <w:pPr>
              <w:ind w:firstLine="0"/>
              <w:jc w:val="center"/>
              <w:rPr>
                <w:szCs w:val="24"/>
              </w:rPr>
            </w:pPr>
          </w:p>
        </w:tc>
        <w:tc>
          <w:tcPr>
            <w:tcW w:w="1372" w:type="dxa"/>
          </w:tcPr>
          <w:p w14:paraId="7973B22A" w14:textId="77777777" w:rsidR="008613C2" w:rsidRDefault="008613C2" w:rsidP="0011182C">
            <w:pPr>
              <w:ind w:firstLine="0"/>
              <w:jc w:val="center"/>
              <w:rPr>
                <w:szCs w:val="24"/>
              </w:rPr>
            </w:pPr>
          </w:p>
        </w:tc>
      </w:tr>
      <w:tr w:rsidR="008613C2" w14:paraId="642058CF" w14:textId="77777777" w:rsidTr="0011182C">
        <w:trPr>
          <w:trHeight w:val="545"/>
        </w:trPr>
        <w:tc>
          <w:tcPr>
            <w:tcW w:w="3353" w:type="dxa"/>
          </w:tcPr>
          <w:p w14:paraId="6127B156" w14:textId="77777777" w:rsidR="008613C2" w:rsidRPr="00EE4066" w:rsidRDefault="008613C2" w:rsidP="0011182C">
            <w:pPr>
              <w:ind w:firstLine="0"/>
              <w:rPr>
                <w:rFonts w:eastAsia="Times New Roman" w:cs="Times New Roman"/>
                <w:color w:val="000000"/>
                <w:szCs w:val="24"/>
                <w:lang w:val="en-GB" w:eastAsia="en-GB"/>
              </w:rPr>
            </w:pPr>
            <w:r w:rsidRPr="00EE4066">
              <w:rPr>
                <w:rFonts w:eastAsia="Times New Roman" w:cs="Times New Roman"/>
                <w:color w:val="000000"/>
                <w:szCs w:val="24"/>
                <w:lang w:val="en-GB" w:eastAsia="en-GB"/>
              </w:rPr>
              <w:t>Emotional engagement in</w:t>
            </w:r>
          </w:p>
          <w:p w14:paraId="4ACB177E" w14:textId="77777777" w:rsidR="008613C2" w:rsidRDefault="008613C2" w:rsidP="0011182C">
            <w:pPr>
              <w:ind w:firstLine="0"/>
              <w:rPr>
                <w:szCs w:val="24"/>
              </w:rPr>
            </w:pPr>
            <w:r w:rsidRPr="00EE4066">
              <w:rPr>
                <w:rFonts w:eastAsia="Times New Roman" w:cs="Times New Roman"/>
                <w:color w:val="000000"/>
                <w:szCs w:val="24"/>
                <w:lang w:val="en-GB" w:eastAsia="en-GB"/>
              </w:rPr>
              <w:t>student–teacher interaction(n)</w:t>
            </w:r>
          </w:p>
        </w:tc>
        <w:tc>
          <w:tcPr>
            <w:tcW w:w="1525" w:type="dxa"/>
          </w:tcPr>
          <w:p w14:paraId="6C512226" w14:textId="77777777" w:rsidR="008613C2" w:rsidRDefault="008613C2" w:rsidP="0011182C">
            <w:pPr>
              <w:ind w:firstLine="0"/>
              <w:jc w:val="center"/>
              <w:rPr>
                <w:szCs w:val="24"/>
              </w:rPr>
            </w:pPr>
            <w:r>
              <w:rPr>
                <w:szCs w:val="24"/>
              </w:rPr>
              <w:t>16</w:t>
            </w:r>
          </w:p>
          <w:p w14:paraId="7F9802CA" w14:textId="1238E33A" w:rsidR="008613C2" w:rsidRDefault="008613C2" w:rsidP="0011182C">
            <w:pPr>
              <w:ind w:firstLine="0"/>
              <w:jc w:val="center"/>
              <w:rPr>
                <w:szCs w:val="24"/>
              </w:rPr>
            </w:pPr>
            <w:r>
              <w:rPr>
                <w:szCs w:val="24"/>
              </w:rPr>
              <w:t>42</w:t>
            </w:r>
            <w:r>
              <w:rPr>
                <w:szCs w:val="24"/>
              </w:rPr>
              <w:t>%</w:t>
            </w:r>
          </w:p>
        </w:tc>
        <w:tc>
          <w:tcPr>
            <w:tcW w:w="708" w:type="dxa"/>
          </w:tcPr>
          <w:p w14:paraId="05AFEA4F" w14:textId="77777777" w:rsidR="008613C2" w:rsidRDefault="008613C2" w:rsidP="0011182C">
            <w:pPr>
              <w:ind w:firstLine="0"/>
              <w:jc w:val="center"/>
              <w:rPr>
                <w:szCs w:val="24"/>
              </w:rPr>
            </w:pPr>
          </w:p>
        </w:tc>
        <w:tc>
          <w:tcPr>
            <w:tcW w:w="1388" w:type="dxa"/>
          </w:tcPr>
          <w:p w14:paraId="48BC93F8" w14:textId="77777777" w:rsidR="008613C2" w:rsidRDefault="008613C2" w:rsidP="0011182C">
            <w:pPr>
              <w:ind w:firstLine="0"/>
              <w:jc w:val="center"/>
              <w:rPr>
                <w:szCs w:val="24"/>
              </w:rPr>
            </w:pPr>
            <w:r>
              <w:rPr>
                <w:szCs w:val="24"/>
              </w:rPr>
              <w:t>22</w:t>
            </w:r>
          </w:p>
          <w:p w14:paraId="05855E93" w14:textId="4998E030" w:rsidR="008613C2" w:rsidRDefault="008613C2" w:rsidP="0011182C">
            <w:pPr>
              <w:ind w:firstLine="0"/>
              <w:jc w:val="center"/>
              <w:rPr>
                <w:szCs w:val="24"/>
              </w:rPr>
            </w:pPr>
            <w:r>
              <w:rPr>
                <w:szCs w:val="24"/>
              </w:rPr>
              <w:t>58</w:t>
            </w:r>
            <w:r>
              <w:rPr>
                <w:szCs w:val="24"/>
              </w:rPr>
              <w:t>%</w:t>
            </w:r>
          </w:p>
        </w:tc>
        <w:tc>
          <w:tcPr>
            <w:tcW w:w="646" w:type="dxa"/>
          </w:tcPr>
          <w:p w14:paraId="6889D9D5" w14:textId="77777777" w:rsidR="008613C2" w:rsidRDefault="008613C2" w:rsidP="0011182C">
            <w:pPr>
              <w:ind w:firstLine="0"/>
              <w:jc w:val="center"/>
              <w:rPr>
                <w:szCs w:val="24"/>
              </w:rPr>
            </w:pPr>
          </w:p>
        </w:tc>
        <w:tc>
          <w:tcPr>
            <w:tcW w:w="1372" w:type="dxa"/>
          </w:tcPr>
          <w:p w14:paraId="08DD65BC" w14:textId="77777777" w:rsidR="008613C2" w:rsidRDefault="008613C2" w:rsidP="0011182C">
            <w:pPr>
              <w:ind w:firstLine="0"/>
              <w:jc w:val="center"/>
              <w:rPr>
                <w:szCs w:val="24"/>
              </w:rPr>
            </w:pPr>
            <w:r>
              <w:rPr>
                <w:szCs w:val="24"/>
              </w:rPr>
              <w:t>38</w:t>
            </w:r>
          </w:p>
          <w:p w14:paraId="0B76B592" w14:textId="507F96B6" w:rsidR="008613C2" w:rsidRDefault="008613C2" w:rsidP="0011182C">
            <w:pPr>
              <w:ind w:firstLine="0"/>
              <w:jc w:val="center"/>
              <w:rPr>
                <w:szCs w:val="24"/>
              </w:rPr>
            </w:pPr>
            <w:r>
              <w:rPr>
                <w:szCs w:val="24"/>
              </w:rPr>
              <w:t>100%</w:t>
            </w:r>
          </w:p>
        </w:tc>
      </w:tr>
      <w:tr w:rsidR="008613C2" w14:paraId="57ACA5D9" w14:textId="77777777" w:rsidTr="0011182C">
        <w:trPr>
          <w:trHeight w:val="280"/>
        </w:trPr>
        <w:tc>
          <w:tcPr>
            <w:tcW w:w="3353" w:type="dxa"/>
          </w:tcPr>
          <w:p w14:paraId="47FBF4EF" w14:textId="77777777" w:rsidR="008613C2" w:rsidRDefault="008613C2" w:rsidP="0011182C">
            <w:pPr>
              <w:ind w:firstLine="0"/>
              <w:rPr>
                <w:szCs w:val="24"/>
              </w:rPr>
            </w:pPr>
          </w:p>
        </w:tc>
        <w:tc>
          <w:tcPr>
            <w:tcW w:w="1525" w:type="dxa"/>
          </w:tcPr>
          <w:p w14:paraId="27F058B5" w14:textId="77777777" w:rsidR="008613C2" w:rsidRDefault="008613C2" w:rsidP="0011182C">
            <w:pPr>
              <w:ind w:firstLine="0"/>
              <w:jc w:val="center"/>
              <w:rPr>
                <w:szCs w:val="24"/>
              </w:rPr>
            </w:pPr>
          </w:p>
        </w:tc>
        <w:tc>
          <w:tcPr>
            <w:tcW w:w="708" w:type="dxa"/>
          </w:tcPr>
          <w:p w14:paraId="4A87D01A" w14:textId="77777777" w:rsidR="008613C2" w:rsidRDefault="008613C2" w:rsidP="0011182C">
            <w:pPr>
              <w:ind w:firstLine="0"/>
              <w:jc w:val="center"/>
              <w:rPr>
                <w:szCs w:val="24"/>
              </w:rPr>
            </w:pPr>
          </w:p>
        </w:tc>
        <w:tc>
          <w:tcPr>
            <w:tcW w:w="1388" w:type="dxa"/>
          </w:tcPr>
          <w:p w14:paraId="57473FB3" w14:textId="77777777" w:rsidR="008613C2" w:rsidRDefault="008613C2" w:rsidP="0011182C">
            <w:pPr>
              <w:ind w:firstLine="0"/>
              <w:jc w:val="center"/>
              <w:rPr>
                <w:szCs w:val="24"/>
              </w:rPr>
            </w:pPr>
          </w:p>
        </w:tc>
        <w:tc>
          <w:tcPr>
            <w:tcW w:w="646" w:type="dxa"/>
          </w:tcPr>
          <w:p w14:paraId="63639017" w14:textId="77777777" w:rsidR="008613C2" w:rsidRDefault="008613C2" w:rsidP="0011182C">
            <w:pPr>
              <w:ind w:firstLine="0"/>
              <w:jc w:val="center"/>
              <w:rPr>
                <w:szCs w:val="24"/>
              </w:rPr>
            </w:pPr>
          </w:p>
        </w:tc>
        <w:tc>
          <w:tcPr>
            <w:tcW w:w="1372" w:type="dxa"/>
          </w:tcPr>
          <w:p w14:paraId="7D9BA8EE" w14:textId="77777777" w:rsidR="008613C2" w:rsidRDefault="008613C2" w:rsidP="0011182C">
            <w:pPr>
              <w:ind w:firstLine="0"/>
              <w:jc w:val="center"/>
              <w:rPr>
                <w:szCs w:val="24"/>
              </w:rPr>
            </w:pPr>
          </w:p>
        </w:tc>
      </w:tr>
      <w:tr w:rsidR="008613C2" w14:paraId="1A82EC64" w14:textId="77777777" w:rsidTr="0011182C">
        <w:trPr>
          <w:trHeight w:val="561"/>
        </w:trPr>
        <w:tc>
          <w:tcPr>
            <w:tcW w:w="3353" w:type="dxa"/>
          </w:tcPr>
          <w:p w14:paraId="15636B8C" w14:textId="77777777" w:rsidR="008613C2" w:rsidRPr="00FE3FD1" w:rsidRDefault="008613C2" w:rsidP="0011182C">
            <w:pPr>
              <w:ind w:firstLine="0"/>
            </w:pPr>
            <w:r w:rsidRPr="00EE4066">
              <w:rPr>
                <w:rFonts w:eastAsia="Times New Roman" w:cs="Times New Roman"/>
                <w:color w:val="000000"/>
                <w:szCs w:val="24"/>
                <w:lang w:val="en-GB" w:eastAsia="en-GB"/>
              </w:rPr>
              <w:t>Cognitive engagement in studying (n)</w:t>
            </w:r>
          </w:p>
        </w:tc>
        <w:tc>
          <w:tcPr>
            <w:tcW w:w="1525" w:type="dxa"/>
          </w:tcPr>
          <w:p w14:paraId="22219B0D" w14:textId="77777777" w:rsidR="008613C2" w:rsidRDefault="008613C2" w:rsidP="0011182C">
            <w:pPr>
              <w:ind w:firstLine="0"/>
              <w:jc w:val="center"/>
              <w:rPr>
                <w:szCs w:val="24"/>
              </w:rPr>
            </w:pPr>
            <w:r>
              <w:rPr>
                <w:szCs w:val="24"/>
              </w:rPr>
              <w:t>20</w:t>
            </w:r>
          </w:p>
          <w:p w14:paraId="7E45F63E" w14:textId="382CE6EC" w:rsidR="008613C2" w:rsidRDefault="008613C2" w:rsidP="008613C2">
            <w:pPr>
              <w:ind w:firstLine="0"/>
              <w:jc w:val="center"/>
              <w:rPr>
                <w:szCs w:val="24"/>
              </w:rPr>
            </w:pPr>
            <w:r>
              <w:rPr>
                <w:szCs w:val="24"/>
              </w:rPr>
              <w:t>61</w:t>
            </w:r>
            <w:r>
              <w:rPr>
                <w:szCs w:val="24"/>
              </w:rPr>
              <w:t>%</w:t>
            </w:r>
          </w:p>
        </w:tc>
        <w:tc>
          <w:tcPr>
            <w:tcW w:w="708" w:type="dxa"/>
          </w:tcPr>
          <w:p w14:paraId="5D04B563" w14:textId="77777777" w:rsidR="008613C2" w:rsidRDefault="008613C2" w:rsidP="0011182C">
            <w:pPr>
              <w:ind w:firstLine="0"/>
              <w:jc w:val="center"/>
              <w:rPr>
                <w:szCs w:val="24"/>
              </w:rPr>
            </w:pPr>
          </w:p>
        </w:tc>
        <w:tc>
          <w:tcPr>
            <w:tcW w:w="1388" w:type="dxa"/>
          </w:tcPr>
          <w:p w14:paraId="18AF8364" w14:textId="77777777" w:rsidR="008613C2" w:rsidRDefault="008613C2" w:rsidP="0011182C">
            <w:pPr>
              <w:ind w:firstLine="0"/>
              <w:jc w:val="center"/>
              <w:rPr>
                <w:szCs w:val="24"/>
              </w:rPr>
            </w:pPr>
            <w:r>
              <w:rPr>
                <w:szCs w:val="24"/>
              </w:rPr>
              <w:t>13</w:t>
            </w:r>
          </w:p>
          <w:p w14:paraId="20504070" w14:textId="7CB1C329" w:rsidR="008613C2" w:rsidRDefault="008613C2" w:rsidP="0011182C">
            <w:pPr>
              <w:ind w:firstLine="0"/>
              <w:jc w:val="center"/>
              <w:rPr>
                <w:szCs w:val="24"/>
              </w:rPr>
            </w:pPr>
            <w:r>
              <w:rPr>
                <w:szCs w:val="24"/>
              </w:rPr>
              <w:t>39</w:t>
            </w:r>
            <w:r>
              <w:rPr>
                <w:szCs w:val="24"/>
              </w:rPr>
              <w:t>%</w:t>
            </w:r>
          </w:p>
        </w:tc>
        <w:tc>
          <w:tcPr>
            <w:tcW w:w="646" w:type="dxa"/>
          </w:tcPr>
          <w:p w14:paraId="41C4C980" w14:textId="77777777" w:rsidR="008613C2" w:rsidRDefault="008613C2" w:rsidP="0011182C">
            <w:pPr>
              <w:ind w:firstLine="0"/>
              <w:jc w:val="center"/>
              <w:rPr>
                <w:szCs w:val="24"/>
              </w:rPr>
            </w:pPr>
          </w:p>
        </w:tc>
        <w:tc>
          <w:tcPr>
            <w:tcW w:w="1372" w:type="dxa"/>
          </w:tcPr>
          <w:p w14:paraId="49C59CFB" w14:textId="77777777" w:rsidR="008613C2" w:rsidRDefault="008613C2" w:rsidP="0011182C">
            <w:pPr>
              <w:ind w:firstLine="0"/>
              <w:jc w:val="center"/>
              <w:rPr>
                <w:szCs w:val="24"/>
              </w:rPr>
            </w:pPr>
            <w:r>
              <w:rPr>
                <w:szCs w:val="24"/>
              </w:rPr>
              <w:t>33</w:t>
            </w:r>
          </w:p>
          <w:p w14:paraId="357311E9" w14:textId="3D24335C" w:rsidR="008613C2" w:rsidRDefault="008613C2" w:rsidP="0011182C">
            <w:pPr>
              <w:ind w:firstLine="0"/>
              <w:jc w:val="center"/>
              <w:rPr>
                <w:szCs w:val="24"/>
              </w:rPr>
            </w:pPr>
            <w:r>
              <w:rPr>
                <w:szCs w:val="24"/>
              </w:rPr>
              <w:t>100%</w:t>
            </w:r>
          </w:p>
        </w:tc>
      </w:tr>
      <w:tr w:rsidR="008613C2" w14:paraId="190951E2" w14:textId="77777777" w:rsidTr="0011182C">
        <w:trPr>
          <w:trHeight w:val="280"/>
        </w:trPr>
        <w:tc>
          <w:tcPr>
            <w:tcW w:w="3353" w:type="dxa"/>
          </w:tcPr>
          <w:p w14:paraId="2BB37C84" w14:textId="77777777" w:rsidR="008613C2" w:rsidRDefault="008613C2" w:rsidP="0011182C">
            <w:pPr>
              <w:ind w:firstLine="0"/>
              <w:rPr>
                <w:szCs w:val="24"/>
              </w:rPr>
            </w:pPr>
          </w:p>
        </w:tc>
        <w:tc>
          <w:tcPr>
            <w:tcW w:w="1525" w:type="dxa"/>
          </w:tcPr>
          <w:p w14:paraId="1FBC92AC" w14:textId="77777777" w:rsidR="008613C2" w:rsidRDefault="008613C2" w:rsidP="0011182C">
            <w:pPr>
              <w:ind w:firstLine="0"/>
              <w:jc w:val="center"/>
              <w:rPr>
                <w:szCs w:val="24"/>
              </w:rPr>
            </w:pPr>
          </w:p>
        </w:tc>
        <w:tc>
          <w:tcPr>
            <w:tcW w:w="708" w:type="dxa"/>
          </w:tcPr>
          <w:p w14:paraId="2053853C" w14:textId="77777777" w:rsidR="008613C2" w:rsidRDefault="008613C2" w:rsidP="0011182C">
            <w:pPr>
              <w:ind w:firstLine="0"/>
              <w:jc w:val="center"/>
              <w:rPr>
                <w:szCs w:val="24"/>
              </w:rPr>
            </w:pPr>
          </w:p>
        </w:tc>
        <w:tc>
          <w:tcPr>
            <w:tcW w:w="1388" w:type="dxa"/>
          </w:tcPr>
          <w:p w14:paraId="3F2B23D7" w14:textId="77777777" w:rsidR="008613C2" w:rsidRDefault="008613C2" w:rsidP="0011182C">
            <w:pPr>
              <w:ind w:firstLine="0"/>
              <w:jc w:val="center"/>
              <w:rPr>
                <w:szCs w:val="24"/>
              </w:rPr>
            </w:pPr>
          </w:p>
        </w:tc>
        <w:tc>
          <w:tcPr>
            <w:tcW w:w="646" w:type="dxa"/>
          </w:tcPr>
          <w:p w14:paraId="750ACF29" w14:textId="77777777" w:rsidR="008613C2" w:rsidRDefault="008613C2" w:rsidP="0011182C">
            <w:pPr>
              <w:ind w:firstLine="0"/>
              <w:jc w:val="center"/>
              <w:rPr>
                <w:szCs w:val="24"/>
              </w:rPr>
            </w:pPr>
          </w:p>
        </w:tc>
        <w:tc>
          <w:tcPr>
            <w:tcW w:w="1372" w:type="dxa"/>
          </w:tcPr>
          <w:p w14:paraId="3ABA52DA" w14:textId="77777777" w:rsidR="008613C2" w:rsidRDefault="008613C2" w:rsidP="0011182C">
            <w:pPr>
              <w:ind w:firstLine="0"/>
              <w:jc w:val="center"/>
              <w:rPr>
                <w:szCs w:val="24"/>
              </w:rPr>
            </w:pPr>
          </w:p>
        </w:tc>
      </w:tr>
      <w:tr w:rsidR="008613C2" w14:paraId="60EB1B38" w14:textId="77777777" w:rsidTr="0011182C">
        <w:trPr>
          <w:trHeight w:val="280"/>
        </w:trPr>
        <w:tc>
          <w:tcPr>
            <w:tcW w:w="3353" w:type="dxa"/>
          </w:tcPr>
          <w:p w14:paraId="15971908" w14:textId="77777777" w:rsidR="008613C2" w:rsidRDefault="008613C2" w:rsidP="0011182C">
            <w:pPr>
              <w:ind w:firstLine="0"/>
              <w:rPr>
                <w:szCs w:val="24"/>
              </w:rPr>
            </w:pPr>
            <w:r>
              <w:rPr>
                <w:szCs w:val="24"/>
              </w:rPr>
              <w:t>Total</w:t>
            </w:r>
          </w:p>
        </w:tc>
        <w:tc>
          <w:tcPr>
            <w:tcW w:w="1525" w:type="dxa"/>
          </w:tcPr>
          <w:p w14:paraId="60A7F7C9" w14:textId="77777777" w:rsidR="008613C2" w:rsidRDefault="008613C2" w:rsidP="0011182C">
            <w:pPr>
              <w:ind w:firstLine="0"/>
              <w:jc w:val="center"/>
              <w:rPr>
                <w:szCs w:val="24"/>
              </w:rPr>
            </w:pPr>
            <w:r>
              <w:rPr>
                <w:szCs w:val="24"/>
              </w:rPr>
              <w:t>104</w:t>
            </w:r>
          </w:p>
        </w:tc>
        <w:tc>
          <w:tcPr>
            <w:tcW w:w="708" w:type="dxa"/>
          </w:tcPr>
          <w:p w14:paraId="26D9B67C" w14:textId="77777777" w:rsidR="008613C2" w:rsidRDefault="008613C2" w:rsidP="0011182C">
            <w:pPr>
              <w:ind w:firstLine="0"/>
              <w:jc w:val="center"/>
              <w:rPr>
                <w:szCs w:val="24"/>
              </w:rPr>
            </w:pPr>
          </w:p>
        </w:tc>
        <w:tc>
          <w:tcPr>
            <w:tcW w:w="1388" w:type="dxa"/>
          </w:tcPr>
          <w:p w14:paraId="093A6C12" w14:textId="77777777" w:rsidR="008613C2" w:rsidRDefault="008613C2" w:rsidP="0011182C">
            <w:pPr>
              <w:ind w:firstLine="0"/>
              <w:jc w:val="center"/>
              <w:rPr>
                <w:szCs w:val="24"/>
              </w:rPr>
            </w:pPr>
            <w:r>
              <w:rPr>
                <w:szCs w:val="24"/>
              </w:rPr>
              <w:t>82</w:t>
            </w:r>
          </w:p>
        </w:tc>
        <w:tc>
          <w:tcPr>
            <w:tcW w:w="646" w:type="dxa"/>
          </w:tcPr>
          <w:p w14:paraId="2150AAC9" w14:textId="77777777" w:rsidR="008613C2" w:rsidRDefault="008613C2" w:rsidP="0011182C">
            <w:pPr>
              <w:ind w:firstLine="0"/>
              <w:jc w:val="center"/>
              <w:rPr>
                <w:szCs w:val="24"/>
              </w:rPr>
            </w:pPr>
          </w:p>
        </w:tc>
        <w:tc>
          <w:tcPr>
            <w:tcW w:w="1372" w:type="dxa"/>
          </w:tcPr>
          <w:p w14:paraId="2EB495FF" w14:textId="77777777" w:rsidR="008613C2" w:rsidRDefault="008613C2" w:rsidP="0011182C">
            <w:pPr>
              <w:ind w:firstLine="0"/>
              <w:jc w:val="center"/>
              <w:rPr>
                <w:szCs w:val="24"/>
              </w:rPr>
            </w:pPr>
            <w:r>
              <w:rPr>
                <w:szCs w:val="24"/>
              </w:rPr>
              <w:t>186</w:t>
            </w:r>
          </w:p>
        </w:tc>
      </w:tr>
    </w:tbl>
    <w:p w14:paraId="761CA4F6" w14:textId="77777777" w:rsidR="00EB1C2D" w:rsidRDefault="00EB1C2D" w:rsidP="007F68D7">
      <w:pPr>
        <w:ind w:firstLine="0"/>
        <w:rPr>
          <w:szCs w:val="24"/>
        </w:rPr>
      </w:pPr>
    </w:p>
    <w:p w14:paraId="43F1583E" w14:textId="01D44F5A" w:rsidR="00997091" w:rsidRDefault="00997091" w:rsidP="00997091">
      <w:pPr>
        <w:pStyle w:val="BodyText"/>
        <w:spacing w:line="240" w:lineRule="auto"/>
      </w:pPr>
      <w:r w:rsidRPr="004D427B">
        <w:rPr>
          <w:szCs w:val="24"/>
        </w:rPr>
        <w:t>Moreover, a girl with special needs recalled and recognized the meaning of the transition to the next school level as a significant school phase: “</w:t>
      </w:r>
      <w:r w:rsidRPr="004D427B">
        <w:rPr>
          <w:i/>
          <w:szCs w:val="24"/>
        </w:rPr>
        <w:t>Because we</w:t>
      </w:r>
    </w:p>
    <w:p w14:paraId="1CD32B80" w14:textId="77777777" w:rsidR="00FB091E" w:rsidRPr="00997091" w:rsidRDefault="0096324D" w:rsidP="00997091">
      <w:pPr>
        <w:ind w:firstLine="0"/>
      </w:pPr>
      <w:r w:rsidRPr="004D427B">
        <w:rPr>
          <w:i/>
          <w:szCs w:val="24"/>
        </w:rPr>
        <w:t xml:space="preserve">were </w:t>
      </w:r>
      <w:r w:rsidR="00300BF3" w:rsidRPr="004D427B">
        <w:rPr>
          <w:i/>
          <w:szCs w:val="24"/>
        </w:rPr>
        <w:t xml:space="preserve">the </w:t>
      </w:r>
      <w:r w:rsidRPr="004D427B">
        <w:rPr>
          <w:i/>
          <w:szCs w:val="24"/>
        </w:rPr>
        <w:t>oldest and were going to middle school</w:t>
      </w:r>
      <w:r w:rsidR="00EF0E98" w:rsidRPr="004D427B">
        <w:rPr>
          <w:i/>
          <w:szCs w:val="24"/>
        </w:rPr>
        <w:t xml:space="preserve"> next year</w:t>
      </w:r>
      <w:r w:rsidRPr="004D427B">
        <w:rPr>
          <w:i/>
          <w:szCs w:val="24"/>
        </w:rPr>
        <w:t>”</w:t>
      </w:r>
      <w:r w:rsidR="00F81C49" w:rsidRPr="004D427B">
        <w:rPr>
          <w:i/>
          <w:szCs w:val="24"/>
        </w:rPr>
        <w:t>.</w:t>
      </w:r>
      <w:r w:rsidR="00865AC4" w:rsidRPr="004D427B">
        <w:rPr>
          <w:i/>
          <w:szCs w:val="24"/>
        </w:rPr>
        <w:t xml:space="preserve"> </w:t>
      </w:r>
      <w:r w:rsidR="00865AC4" w:rsidRPr="004D427B">
        <w:rPr>
          <w:szCs w:val="24"/>
        </w:rPr>
        <w:t>Likewise</w:t>
      </w:r>
      <w:r w:rsidR="00E800C5" w:rsidRPr="004D427B">
        <w:rPr>
          <w:szCs w:val="24"/>
        </w:rPr>
        <w:t>,</w:t>
      </w:r>
      <w:r w:rsidR="00865AC4" w:rsidRPr="004D427B">
        <w:rPr>
          <w:szCs w:val="24"/>
        </w:rPr>
        <w:t xml:space="preserve"> a</w:t>
      </w:r>
      <w:r w:rsidR="005150D4" w:rsidRPr="004D427B">
        <w:rPr>
          <w:rFonts w:cs="Times New Roman"/>
          <w:szCs w:val="24"/>
          <w:lang w:val="en-GB"/>
        </w:rPr>
        <w:t xml:space="preserve"> girl attending general education </w:t>
      </w:r>
      <w:r w:rsidR="00865AC4" w:rsidRPr="004D427B">
        <w:rPr>
          <w:rFonts w:cs="Times New Roman"/>
          <w:szCs w:val="24"/>
          <w:lang w:val="en-GB"/>
        </w:rPr>
        <w:t xml:space="preserve">raised the significance of the phase of entering school as </w:t>
      </w:r>
      <w:r w:rsidR="00E800C5" w:rsidRPr="004D427B">
        <w:rPr>
          <w:rFonts w:cs="Times New Roman"/>
          <w:szCs w:val="24"/>
          <w:lang w:val="en-GB"/>
        </w:rPr>
        <w:t xml:space="preserve">an </w:t>
      </w:r>
      <w:r w:rsidR="00865AC4" w:rsidRPr="004D427B">
        <w:rPr>
          <w:rFonts w:cs="Times New Roman"/>
          <w:szCs w:val="24"/>
          <w:lang w:val="en-GB"/>
        </w:rPr>
        <w:t xml:space="preserve">emotionally engaging school experience </w:t>
      </w:r>
      <w:r w:rsidR="005558C7" w:rsidRPr="004D427B">
        <w:rPr>
          <w:rFonts w:cs="Times New Roman"/>
          <w:szCs w:val="24"/>
          <w:lang w:val="en-GB"/>
        </w:rPr>
        <w:t>with peers:</w:t>
      </w:r>
      <w:r w:rsidR="00EF0E98" w:rsidRPr="004D427B">
        <w:rPr>
          <w:rFonts w:cs="Times New Roman"/>
          <w:szCs w:val="24"/>
          <w:lang w:val="en-GB"/>
        </w:rPr>
        <w:t xml:space="preserve"> </w:t>
      </w:r>
      <w:r w:rsidR="00E800C5" w:rsidRPr="004D427B">
        <w:rPr>
          <w:rFonts w:cs="Times New Roman"/>
          <w:szCs w:val="24"/>
          <w:lang w:val="en-GB"/>
        </w:rPr>
        <w:t>“</w:t>
      </w:r>
      <w:r w:rsidR="007F795B" w:rsidRPr="004D427B">
        <w:rPr>
          <w:rFonts w:cs="Times New Roman"/>
          <w:i/>
          <w:szCs w:val="24"/>
          <w:lang w:val="en-GB"/>
        </w:rPr>
        <w:t>W</w:t>
      </w:r>
      <w:r w:rsidR="005150D4" w:rsidRPr="004D427B">
        <w:rPr>
          <w:rFonts w:cs="Times New Roman"/>
          <w:i/>
          <w:szCs w:val="24"/>
          <w:lang w:val="en-GB"/>
        </w:rPr>
        <w:t>hen I started school (grade 1) and got more friends and learned to read, write, swim, and to sing</w:t>
      </w:r>
      <w:r w:rsidR="005150D4" w:rsidRPr="004D427B">
        <w:rPr>
          <w:rFonts w:cs="Times New Roman"/>
          <w:szCs w:val="24"/>
          <w:lang w:val="en-GB"/>
        </w:rPr>
        <w:t>”</w:t>
      </w:r>
      <w:r w:rsidR="00F81C49" w:rsidRPr="004D427B">
        <w:rPr>
          <w:rFonts w:cs="Times New Roman"/>
          <w:szCs w:val="24"/>
          <w:lang w:val="en-GB"/>
        </w:rPr>
        <w:t>.</w:t>
      </w:r>
    </w:p>
    <w:p w14:paraId="6C389355" w14:textId="77777777" w:rsidR="00FB091E" w:rsidRDefault="009D2028" w:rsidP="00997091">
      <w:r w:rsidRPr="004D427B">
        <w:t xml:space="preserve">In turn, </w:t>
      </w:r>
      <w:r w:rsidR="00ED429D" w:rsidRPr="004D427B">
        <w:t xml:space="preserve">the </w:t>
      </w:r>
      <w:r w:rsidR="00233B55" w:rsidRPr="004D427B">
        <w:t>experienced</w:t>
      </w:r>
      <w:r w:rsidR="00ED429D" w:rsidRPr="004D427B">
        <w:t xml:space="preserve"> isolation, </w:t>
      </w:r>
      <w:r w:rsidR="00E800C5" w:rsidRPr="004D427B">
        <w:t>consisting of a</w:t>
      </w:r>
      <w:r w:rsidR="00ED429D" w:rsidRPr="004D427B">
        <w:t xml:space="preserve"> lack of </w:t>
      </w:r>
      <w:r w:rsidR="00510378" w:rsidRPr="004D427B">
        <w:t>trusted friend</w:t>
      </w:r>
      <w:r w:rsidR="00F04A34" w:rsidRPr="004D427B">
        <w:t>s</w:t>
      </w:r>
      <w:r w:rsidR="00ED429D" w:rsidRPr="004D427B">
        <w:t xml:space="preserve">, </w:t>
      </w:r>
      <w:r w:rsidRPr="004D427B">
        <w:t xml:space="preserve">bullying, and </w:t>
      </w:r>
      <w:r w:rsidR="00510378" w:rsidRPr="004D427B">
        <w:t xml:space="preserve">social </w:t>
      </w:r>
      <w:r w:rsidRPr="004D427B">
        <w:t xml:space="preserve">conflicts in </w:t>
      </w:r>
      <w:r w:rsidR="00510378" w:rsidRPr="004D427B">
        <w:t xml:space="preserve">the </w:t>
      </w:r>
      <w:r w:rsidRPr="004D427B">
        <w:t>class</w:t>
      </w:r>
      <w:r w:rsidR="00510378" w:rsidRPr="004D427B">
        <w:t>room</w:t>
      </w:r>
      <w:r w:rsidR="00E800C5" w:rsidRPr="004D427B">
        <w:t>,</w:t>
      </w:r>
      <w:r w:rsidRPr="004D427B">
        <w:t xml:space="preserve"> w</w:t>
      </w:r>
      <w:r w:rsidR="00E800C5" w:rsidRPr="004D427B">
        <w:t>as</w:t>
      </w:r>
      <w:r w:rsidRPr="004D427B">
        <w:t xml:space="preserve"> </w:t>
      </w:r>
      <w:r w:rsidR="00510378" w:rsidRPr="004D427B">
        <w:t>perceived a</w:t>
      </w:r>
      <w:r w:rsidRPr="004D427B">
        <w:t xml:space="preserve">s </w:t>
      </w:r>
      <w:r w:rsidR="00E800C5" w:rsidRPr="004D427B">
        <w:t xml:space="preserve">a </w:t>
      </w:r>
      <w:r w:rsidR="00510378" w:rsidRPr="004D427B">
        <w:t>disengaging</w:t>
      </w:r>
      <w:r w:rsidR="00DB4BBF">
        <w:t xml:space="preserve"> negative</w:t>
      </w:r>
      <w:r w:rsidR="00510378" w:rsidRPr="004D427B">
        <w:t xml:space="preserve"> </w:t>
      </w:r>
      <w:r w:rsidRPr="004D427B">
        <w:t>school experience.</w:t>
      </w:r>
      <w:r w:rsidR="00FD074F" w:rsidRPr="004D427B">
        <w:t xml:space="preserve"> </w:t>
      </w:r>
      <w:r w:rsidR="005D20EC" w:rsidRPr="004D427B">
        <w:t>A girl attending general education reflected</w:t>
      </w:r>
      <w:r w:rsidR="00FD074F" w:rsidRPr="004D427B">
        <w:t xml:space="preserve"> a disengaging episode like this</w:t>
      </w:r>
      <w:r w:rsidR="005D20EC" w:rsidRPr="004D427B">
        <w:t>: “</w:t>
      </w:r>
      <w:r w:rsidR="005D20EC" w:rsidRPr="004D427B">
        <w:rPr>
          <w:i/>
        </w:rPr>
        <w:t>It was very noisy, and there were conflicts in the classroom, and the girls were mean to each other</w:t>
      </w:r>
      <w:r w:rsidR="005D20EC" w:rsidRPr="004D427B">
        <w:t>”</w:t>
      </w:r>
      <w:r w:rsidR="00F81C49" w:rsidRPr="004D427B">
        <w:t>,</w:t>
      </w:r>
      <w:r w:rsidR="005D20EC" w:rsidRPr="004D427B">
        <w:t xml:space="preserve"> and </w:t>
      </w:r>
      <w:r w:rsidR="005D20EC" w:rsidRPr="004D427B">
        <w:lastRenderedPageBreak/>
        <w:t xml:space="preserve">a boy </w:t>
      </w:r>
      <w:r w:rsidR="00166477" w:rsidRPr="004D427B">
        <w:t>with special needs</w:t>
      </w:r>
      <w:r w:rsidR="005D20EC" w:rsidRPr="004D427B">
        <w:t xml:space="preserve"> recalled from his study path: “</w:t>
      </w:r>
      <w:r w:rsidR="005D20EC" w:rsidRPr="004D427B">
        <w:rPr>
          <w:i/>
        </w:rPr>
        <w:t>I was aggressive toward everyone</w:t>
      </w:r>
      <w:r w:rsidR="005D20EC" w:rsidRPr="004D427B">
        <w:t>”</w:t>
      </w:r>
      <w:r w:rsidR="00F81C49" w:rsidRPr="004D427B">
        <w:t>.</w:t>
      </w:r>
      <w:r w:rsidR="00BC136F" w:rsidRPr="004D427B">
        <w:t xml:space="preserve"> </w:t>
      </w:r>
      <w:r w:rsidR="00DA7753" w:rsidRPr="004D427B">
        <w:t>Moreover</w:t>
      </w:r>
      <w:r w:rsidR="00E800C5" w:rsidRPr="004D427B">
        <w:t>,</w:t>
      </w:r>
      <w:r w:rsidR="00DA7753" w:rsidRPr="004D427B">
        <w:t xml:space="preserve"> a</w:t>
      </w:r>
      <w:r w:rsidR="0096324D" w:rsidRPr="004D427B">
        <w:t xml:space="preserve"> girl attending general education reflected</w:t>
      </w:r>
      <w:r w:rsidR="00DA7753" w:rsidRPr="004D427B">
        <w:t xml:space="preserve"> </w:t>
      </w:r>
      <w:r w:rsidR="00E800C5" w:rsidRPr="004D427B">
        <w:t xml:space="preserve">on </w:t>
      </w:r>
      <w:r w:rsidR="00DA7753" w:rsidRPr="004D427B">
        <w:t>the prolonged disengaging episode in more depth</w:t>
      </w:r>
      <w:r w:rsidR="0096324D" w:rsidRPr="004D427B">
        <w:t>: “</w:t>
      </w:r>
      <w:r w:rsidR="0096324D" w:rsidRPr="004D427B">
        <w:rPr>
          <w:i/>
        </w:rPr>
        <w:t>In fourth grade there were unresolved conflicts between my friends and in the sixth grade I got bullied and depressed, and did not want to go to school</w:t>
      </w:r>
      <w:r w:rsidR="00582BD6">
        <w:rPr>
          <w:i/>
        </w:rPr>
        <w:t>,</w:t>
      </w:r>
      <w:r w:rsidR="0096324D" w:rsidRPr="004D427B">
        <w:rPr>
          <w:i/>
        </w:rPr>
        <w:t xml:space="preserve"> and I was always afraid that </w:t>
      </w:r>
      <w:r w:rsidR="00E800C5" w:rsidRPr="004D427B">
        <w:rPr>
          <w:i/>
        </w:rPr>
        <w:t xml:space="preserve">someone </w:t>
      </w:r>
      <w:r w:rsidR="0096324D" w:rsidRPr="004D427B">
        <w:rPr>
          <w:i/>
        </w:rPr>
        <w:t>would have comments about me</w:t>
      </w:r>
      <w:r w:rsidR="0096324D" w:rsidRPr="004D427B">
        <w:t>”</w:t>
      </w:r>
      <w:r w:rsidR="00F81C49" w:rsidRPr="004D427B">
        <w:t>.</w:t>
      </w:r>
    </w:p>
    <w:p w14:paraId="517908CE" w14:textId="77777777" w:rsidR="00FB091E" w:rsidRDefault="00FB091E" w:rsidP="00997091"/>
    <w:p w14:paraId="2B53BA74" w14:textId="77777777" w:rsidR="00FB091E" w:rsidRDefault="007364B8" w:rsidP="00997091">
      <w:pPr>
        <w:ind w:firstLine="0"/>
        <w:rPr>
          <w:b/>
        </w:rPr>
      </w:pPr>
      <w:r w:rsidRPr="007F68D7">
        <w:rPr>
          <w:b/>
        </w:rPr>
        <w:t xml:space="preserve">Emotional </w:t>
      </w:r>
      <w:r w:rsidR="00997091">
        <w:rPr>
          <w:b/>
        </w:rPr>
        <w:t>E</w:t>
      </w:r>
      <w:r w:rsidRPr="007F68D7">
        <w:rPr>
          <w:b/>
        </w:rPr>
        <w:t>ngagement in</w:t>
      </w:r>
      <w:r w:rsidR="00997091">
        <w:rPr>
          <w:b/>
        </w:rPr>
        <w:t xml:space="preserve"> S</w:t>
      </w:r>
      <w:r w:rsidR="008C147F" w:rsidRPr="007F68D7">
        <w:rPr>
          <w:b/>
        </w:rPr>
        <w:t>tudent–</w:t>
      </w:r>
      <w:r w:rsidR="00997091">
        <w:rPr>
          <w:b/>
        </w:rPr>
        <w:t>Teacher I</w:t>
      </w:r>
      <w:r w:rsidR="009D2028" w:rsidRPr="007F68D7">
        <w:rPr>
          <w:b/>
        </w:rPr>
        <w:t>nteraction</w:t>
      </w:r>
    </w:p>
    <w:p w14:paraId="4624B208" w14:textId="77777777" w:rsidR="00997091" w:rsidRDefault="00997091" w:rsidP="00997091">
      <w:pPr>
        <w:ind w:firstLine="0"/>
        <w:rPr>
          <w:i/>
          <w:szCs w:val="24"/>
        </w:rPr>
      </w:pPr>
    </w:p>
    <w:p w14:paraId="08CEB819" w14:textId="77777777" w:rsidR="00FB091E" w:rsidRDefault="004E4051" w:rsidP="00997091">
      <w:r>
        <w:t>Student</w:t>
      </w:r>
      <w:r w:rsidR="009D2028">
        <w:t>–</w:t>
      </w:r>
      <w:r>
        <w:t>teacher</w:t>
      </w:r>
      <w:r w:rsidR="009D2028" w:rsidRPr="003F0FA3">
        <w:t xml:space="preserve"> interaction formed another significant context </w:t>
      </w:r>
      <w:r w:rsidR="00E800C5" w:rsidRPr="0023783C">
        <w:t xml:space="preserve">for </w:t>
      </w:r>
      <w:r w:rsidR="007C2D14" w:rsidRPr="0023783C">
        <w:t xml:space="preserve">the </w:t>
      </w:r>
      <w:r w:rsidR="009D2028" w:rsidRPr="0023783C">
        <w:t xml:space="preserve">students’ </w:t>
      </w:r>
      <w:r w:rsidR="008C40BB" w:rsidRPr="0023783C">
        <w:t xml:space="preserve">emotional </w:t>
      </w:r>
      <w:r w:rsidR="009D2028" w:rsidRPr="0023783C">
        <w:t xml:space="preserve">engagement </w:t>
      </w:r>
      <w:r w:rsidR="009D2028" w:rsidRPr="006D367C">
        <w:t>(</w:t>
      </w:r>
      <w:r w:rsidR="003A0680" w:rsidRPr="006D367C">
        <w:t>see T</w:t>
      </w:r>
      <w:r w:rsidR="009D2028" w:rsidRPr="006D367C">
        <w:t xml:space="preserve">able </w:t>
      </w:r>
      <w:r w:rsidR="00611D4D" w:rsidRPr="006D367C">
        <w:t>1</w:t>
      </w:r>
      <w:r w:rsidR="009D2028" w:rsidRPr="006D367C">
        <w:t>).</w:t>
      </w:r>
      <w:r w:rsidR="009D2028" w:rsidRPr="0023783C">
        <w:t xml:space="preserve"> </w:t>
      </w:r>
      <w:r w:rsidR="00B71E2C" w:rsidRPr="0023783C">
        <w:t>However, the results showed that emotionally engaging student</w:t>
      </w:r>
      <w:r w:rsidR="00E800C5" w:rsidRPr="0023783C">
        <w:t>–</w:t>
      </w:r>
      <w:r w:rsidR="00B71E2C" w:rsidRPr="0023783C">
        <w:t xml:space="preserve">teacher </w:t>
      </w:r>
      <w:r w:rsidR="00B71E2C" w:rsidRPr="006D367C">
        <w:t xml:space="preserve">interaction was </w:t>
      </w:r>
      <w:r w:rsidR="00E800C5" w:rsidRPr="006D367C">
        <w:t xml:space="preserve">a </w:t>
      </w:r>
      <w:r w:rsidR="00B71E2C" w:rsidRPr="006D367C">
        <w:t>moderate element of school engagement</w:t>
      </w:r>
      <w:r w:rsidR="00E800C5" w:rsidRPr="006D367C">
        <w:t>,</w:t>
      </w:r>
      <w:r w:rsidR="00B71E2C" w:rsidRPr="006D367C">
        <w:t xml:space="preserve"> in </w:t>
      </w:r>
      <w:r w:rsidR="00E800C5" w:rsidRPr="006D367C">
        <w:t xml:space="preserve">both </w:t>
      </w:r>
      <w:r w:rsidR="00B71E2C" w:rsidRPr="006D367C">
        <w:t xml:space="preserve">the positive (15%) and </w:t>
      </w:r>
      <w:r w:rsidR="00E800C5" w:rsidRPr="006D367C">
        <w:t xml:space="preserve">the </w:t>
      </w:r>
      <w:r w:rsidR="00B71E2C" w:rsidRPr="006D367C">
        <w:t>negative (2</w:t>
      </w:r>
      <w:r w:rsidR="00611D4D" w:rsidRPr="006D367C">
        <w:t>7</w:t>
      </w:r>
      <w:r w:rsidR="00B71E2C" w:rsidRPr="006D367C">
        <w:t>%) school experiences</w:t>
      </w:r>
      <w:r w:rsidR="00B872FD" w:rsidRPr="006D367C">
        <w:t xml:space="preserve"> reported by students</w:t>
      </w:r>
      <w:r w:rsidR="00785003">
        <w:t xml:space="preserve"> (see Table 1)</w:t>
      </w:r>
      <w:r w:rsidR="00B872FD" w:rsidRPr="006D367C">
        <w:t>.</w:t>
      </w:r>
      <w:r w:rsidR="00B71E2C" w:rsidRPr="006D367C">
        <w:t xml:space="preserve"> </w:t>
      </w:r>
      <w:r w:rsidR="007D6C9E">
        <w:t>The n</w:t>
      </w:r>
      <w:r w:rsidR="00E31BA0" w:rsidRPr="006D367C">
        <w:t xml:space="preserve">umber of students´ negative disengaging experiences </w:t>
      </w:r>
      <w:r w:rsidR="00413124">
        <w:t xml:space="preserve">(58%) </w:t>
      </w:r>
      <w:r w:rsidR="00E31BA0" w:rsidRPr="006D367C">
        <w:t>involving their teachers was</w:t>
      </w:r>
      <w:r w:rsidR="000D1C84" w:rsidRPr="006D367C">
        <w:t xml:space="preserve"> slight</w:t>
      </w:r>
      <w:r w:rsidR="005850B0" w:rsidRPr="006D367C">
        <w:t>ly</w:t>
      </w:r>
      <w:r w:rsidR="000D1C84" w:rsidRPr="006D367C">
        <w:t xml:space="preserve"> higher than the positive </w:t>
      </w:r>
      <w:r w:rsidR="00DB4BBF" w:rsidRPr="006D367C">
        <w:t xml:space="preserve">engaging </w:t>
      </w:r>
      <w:r w:rsidR="000D1C84" w:rsidRPr="006D367C">
        <w:t xml:space="preserve">experiences </w:t>
      </w:r>
      <w:r w:rsidR="00413124">
        <w:t xml:space="preserve">(42%) </w:t>
      </w:r>
      <w:r w:rsidR="000D1C84" w:rsidRPr="006D367C">
        <w:t>concerning their relationships to their teacher</w:t>
      </w:r>
      <w:r w:rsidR="00CB25EE">
        <w:t xml:space="preserve"> (see Table 2)</w:t>
      </w:r>
      <w:r w:rsidR="000D1C84" w:rsidRPr="006D367C">
        <w:t xml:space="preserve">. </w:t>
      </w:r>
      <w:r w:rsidR="00DD54A7" w:rsidRPr="006D367C">
        <w:t xml:space="preserve">The significant experiences were </w:t>
      </w:r>
      <w:r w:rsidR="00DA4966" w:rsidRPr="006D367C">
        <w:t>often related to</w:t>
      </w:r>
      <w:r w:rsidR="00DA4966" w:rsidRPr="0023783C">
        <w:t xml:space="preserve"> social conflicts in the classroom and the ways in which the conflicts were solved</w:t>
      </w:r>
      <w:r w:rsidR="00FA406A" w:rsidRPr="0023783C">
        <w:t>,</w:t>
      </w:r>
      <w:r w:rsidR="00DA4966" w:rsidRPr="0023783C">
        <w:t xml:space="preserve"> or to the characteristics of the teacher. For instance, a girl </w:t>
      </w:r>
      <w:r w:rsidR="00166477" w:rsidRPr="0023783C">
        <w:t>with special needs</w:t>
      </w:r>
      <w:r w:rsidR="00DA4966" w:rsidRPr="0023783C">
        <w:t xml:space="preserve"> described constructive student</w:t>
      </w:r>
      <w:r w:rsidR="00E800C5" w:rsidRPr="0023783C">
        <w:t>–</w:t>
      </w:r>
      <w:r w:rsidR="00DA4966" w:rsidRPr="0023783C">
        <w:t>teacher interaction</w:t>
      </w:r>
      <w:r w:rsidR="0048521A" w:rsidRPr="0023783C">
        <w:t xml:space="preserve"> in terms of social optimism</w:t>
      </w:r>
      <w:r w:rsidR="00DA4966" w:rsidRPr="0023783C">
        <w:t>: “</w:t>
      </w:r>
      <w:r w:rsidR="00DA4966" w:rsidRPr="0023783C">
        <w:rPr>
          <w:i/>
        </w:rPr>
        <w:t>We had a fun teacher</w:t>
      </w:r>
      <w:r w:rsidR="00DA4966" w:rsidRPr="0023783C">
        <w:t xml:space="preserve">” and, in turn, a boy attending general education described </w:t>
      </w:r>
      <w:r w:rsidR="00E800C5" w:rsidRPr="0023783C">
        <w:t xml:space="preserve">a </w:t>
      </w:r>
      <w:r w:rsidR="00DA4966" w:rsidRPr="0023783C">
        <w:t>disengaging experience by recalling: “</w:t>
      </w:r>
      <w:r w:rsidR="00DA4966" w:rsidRPr="0023783C">
        <w:rPr>
          <w:i/>
        </w:rPr>
        <w:t>I was unfairly treated by my teache</w:t>
      </w:r>
      <w:r w:rsidR="00FA406A" w:rsidRPr="0023783C">
        <w:rPr>
          <w:i/>
        </w:rPr>
        <w:t>r</w:t>
      </w:r>
      <w:r w:rsidR="00DA4966" w:rsidRPr="0023783C">
        <w:t>”</w:t>
      </w:r>
      <w:r w:rsidR="00FA406A" w:rsidRPr="0023783C">
        <w:t>.</w:t>
      </w:r>
      <w:r w:rsidR="00DA4966" w:rsidRPr="0023783C">
        <w:t xml:space="preserve"> </w:t>
      </w:r>
      <w:r w:rsidR="006D3EC2" w:rsidRPr="0023783C">
        <w:t xml:space="preserve">A girl attending general education </w:t>
      </w:r>
      <w:r w:rsidR="004D26DF" w:rsidRPr="0023783C">
        <w:t xml:space="preserve">also </w:t>
      </w:r>
      <w:r w:rsidR="006D3EC2" w:rsidRPr="0023783C">
        <w:t>stated: “</w:t>
      </w:r>
      <w:r w:rsidR="006D3EC2" w:rsidRPr="0023783C">
        <w:rPr>
          <w:i/>
        </w:rPr>
        <w:t>I was not bullied, that was a positive school experience</w:t>
      </w:r>
      <w:r w:rsidR="00E800C5" w:rsidRPr="0023783C">
        <w:rPr>
          <w:i/>
        </w:rPr>
        <w:t>,</w:t>
      </w:r>
      <w:r w:rsidR="006D3EC2" w:rsidRPr="0023783C">
        <w:rPr>
          <w:i/>
        </w:rPr>
        <w:t xml:space="preserve"> and we had a good teacher</w:t>
      </w:r>
      <w:r w:rsidR="006D3EC2" w:rsidRPr="0023783C">
        <w:t>”</w:t>
      </w:r>
      <w:r w:rsidR="00FA406A" w:rsidRPr="0023783C">
        <w:t>.</w:t>
      </w:r>
      <w:r w:rsidR="004D26DF" w:rsidRPr="0023783C">
        <w:t xml:space="preserve"> </w:t>
      </w:r>
      <w:r w:rsidR="00DA4966" w:rsidRPr="0023783C">
        <w:t xml:space="preserve">Hence, </w:t>
      </w:r>
      <w:r w:rsidR="009D2028" w:rsidRPr="0023783C">
        <w:t xml:space="preserve">the results suggest that the students did not perceive encounters with teachers to be as significant as their interactions with peers in terms of their </w:t>
      </w:r>
      <w:r w:rsidR="00DA4966" w:rsidRPr="0023783C">
        <w:t>emotional engagement in the school community.</w:t>
      </w:r>
      <w:r w:rsidR="00A7425F" w:rsidRPr="0023783C">
        <w:t xml:space="preserve"> </w:t>
      </w:r>
      <w:r w:rsidR="007B7BE4" w:rsidRPr="0023783C">
        <w:t xml:space="preserve">However, </w:t>
      </w:r>
      <w:r w:rsidR="008F0D11" w:rsidRPr="0023783C">
        <w:t>th</w:t>
      </w:r>
      <w:r w:rsidR="00DD54A7" w:rsidRPr="0023783C">
        <w:t>e</w:t>
      </w:r>
      <w:r w:rsidR="008F0D11" w:rsidRPr="0023783C">
        <w:t xml:space="preserve"> result</w:t>
      </w:r>
      <w:r w:rsidR="0048521A" w:rsidRPr="0023783C">
        <w:t>s</w:t>
      </w:r>
      <w:r w:rsidR="008F0D11" w:rsidRPr="0023783C">
        <w:t xml:space="preserve"> indicate</w:t>
      </w:r>
      <w:r w:rsidR="00DD54A7" w:rsidRPr="0023783C">
        <w:t>d</w:t>
      </w:r>
      <w:r w:rsidR="008F0D11" w:rsidRPr="0023783C">
        <w:t xml:space="preserve"> that</w:t>
      </w:r>
      <w:r w:rsidR="00DD54A7" w:rsidRPr="0023783C">
        <w:t xml:space="preserve"> the students</w:t>
      </w:r>
      <w:r w:rsidR="00B872FD" w:rsidRPr="0023783C">
        <w:t xml:space="preserve"> value</w:t>
      </w:r>
      <w:r w:rsidR="00DD54A7" w:rsidRPr="0023783C">
        <w:t>d</w:t>
      </w:r>
      <w:r w:rsidR="00B872FD" w:rsidRPr="0023783C">
        <w:t xml:space="preserve"> a constructive student</w:t>
      </w:r>
      <w:r w:rsidR="00E800C5" w:rsidRPr="0023783C">
        <w:t>–</w:t>
      </w:r>
      <w:r w:rsidR="00B872FD" w:rsidRPr="0023783C">
        <w:t>teacher interaction</w:t>
      </w:r>
      <w:r w:rsidR="009505C7" w:rsidRPr="0023783C">
        <w:t xml:space="preserve">, </w:t>
      </w:r>
      <w:r w:rsidR="00E800C5" w:rsidRPr="0023783C">
        <w:t>such as</w:t>
      </w:r>
      <w:r w:rsidR="009505C7" w:rsidRPr="0023783C">
        <w:t xml:space="preserve"> </w:t>
      </w:r>
      <w:r w:rsidR="009505C7" w:rsidRPr="00E706C1">
        <w:t xml:space="preserve">teacher </w:t>
      </w:r>
      <w:r w:rsidR="009505C7" w:rsidRPr="00E706C1">
        <w:rPr>
          <w:rFonts w:cs="Times New Roman"/>
        </w:rPr>
        <w:t>support,</w:t>
      </w:r>
      <w:r w:rsidR="00B872FD" w:rsidRPr="00E706C1">
        <w:rPr>
          <w:rFonts w:cs="Times New Roman"/>
        </w:rPr>
        <w:t xml:space="preserve"> not only as </w:t>
      </w:r>
      <w:r w:rsidR="00E800C5" w:rsidRPr="00E706C1">
        <w:rPr>
          <w:rFonts w:cs="Times New Roman"/>
        </w:rPr>
        <w:t xml:space="preserve">a </w:t>
      </w:r>
      <w:r w:rsidR="008F0D11" w:rsidRPr="00E706C1">
        <w:rPr>
          <w:rFonts w:cs="Times New Roman"/>
        </w:rPr>
        <w:t xml:space="preserve">facilitator of their own emotional engagement in school </w:t>
      </w:r>
      <w:r w:rsidR="00747F72" w:rsidRPr="00E706C1">
        <w:rPr>
          <w:rFonts w:cs="Times New Roman"/>
        </w:rPr>
        <w:t>attendance</w:t>
      </w:r>
      <w:r w:rsidR="008F0D11" w:rsidRPr="00E706C1">
        <w:rPr>
          <w:rFonts w:cs="Times New Roman"/>
        </w:rPr>
        <w:t xml:space="preserve">, </w:t>
      </w:r>
      <w:r w:rsidR="00B872FD" w:rsidRPr="00E706C1">
        <w:rPr>
          <w:rFonts w:cs="Times New Roman"/>
        </w:rPr>
        <w:t xml:space="preserve">but also as a </w:t>
      </w:r>
      <w:r w:rsidR="009505C7" w:rsidRPr="00E706C1">
        <w:rPr>
          <w:rFonts w:cs="Times New Roman"/>
        </w:rPr>
        <w:t xml:space="preserve">crucial </w:t>
      </w:r>
      <w:r w:rsidR="0048521A" w:rsidRPr="00E706C1">
        <w:rPr>
          <w:rFonts w:cs="Times New Roman"/>
        </w:rPr>
        <w:t xml:space="preserve">intermediary </w:t>
      </w:r>
      <w:r w:rsidR="009505C7" w:rsidRPr="00E706C1">
        <w:rPr>
          <w:rFonts w:cs="Times New Roman"/>
        </w:rPr>
        <w:t xml:space="preserve">force </w:t>
      </w:r>
      <w:r w:rsidR="0048521A" w:rsidRPr="00E706C1">
        <w:rPr>
          <w:rFonts w:cs="Times New Roman"/>
        </w:rPr>
        <w:t xml:space="preserve">that </w:t>
      </w:r>
      <w:r w:rsidR="009505C7" w:rsidRPr="00E706C1">
        <w:t>facilitat</w:t>
      </w:r>
      <w:r w:rsidR="00DB4909" w:rsidRPr="00E706C1">
        <w:t>e</w:t>
      </w:r>
      <w:r w:rsidR="00E800C5" w:rsidRPr="00E706C1">
        <w:t>d</w:t>
      </w:r>
      <w:r w:rsidR="009505C7" w:rsidRPr="00E706C1">
        <w:t xml:space="preserve"> </w:t>
      </w:r>
      <w:r w:rsidR="0048521A" w:rsidRPr="00E706C1">
        <w:t xml:space="preserve">and </w:t>
      </w:r>
      <w:r w:rsidR="009505C7" w:rsidRPr="00E706C1">
        <w:t>sustain</w:t>
      </w:r>
      <w:r w:rsidR="00E800C5" w:rsidRPr="00E706C1">
        <w:t>ed</w:t>
      </w:r>
      <w:r w:rsidR="009505C7" w:rsidRPr="00E706C1">
        <w:t xml:space="preserve"> emotional engagement in peer interaction, </w:t>
      </w:r>
      <w:r w:rsidR="00E800C5" w:rsidRPr="00E706C1">
        <w:t>or namely</w:t>
      </w:r>
      <w:r w:rsidR="009505C7" w:rsidRPr="00E706C1">
        <w:t xml:space="preserve"> </w:t>
      </w:r>
      <w:r w:rsidR="0048521A" w:rsidRPr="00E706C1">
        <w:t xml:space="preserve">the </w:t>
      </w:r>
      <w:r w:rsidR="009505C7" w:rsidRPr="00E706C1">
        <w:t xml:space="preserve">sense of belonging. In other words, </w:t>
      </w:r>
      <w:r w:rsidR="00E800C5" w:rsidRPr="00E706C1">
        <w:t xml:space="preserve">the </w:t>
      </w:r>
      <w:r w:rsidR="009505C7" w:rsidRPr="00E706C1">
        <w:t>teacher w</w:t>
      </w:r>
      <w:r w:rsidR="00A1716D" w:rsidRPr="00E706C1">
        <w:t>as</w:t>
      </w:r>
      <w:r w:rsidR="006242EA" w:rsidRPr="00E706C1">
        <w:t xml:space="preserve"> perceived</w:t>
      </w:r>
      <w:r w:rsidR="00A1716D" w:rsidRPr="00E706C1">
        <w:t xml:space="preserve"> </w:t>
      </w:r>
      <w:r w:rsidR="009505C7" w:rsidRPr="00E706C1">
        <w:t>as</w:t>
      </w:r>
      <w:r w:rsidR="0048521A" w:rsidRPr="00E706C1">
        <w:t xml:space="preserve"> </w:t>
      </w:r>
      <w:r w:rsidR="00A1716D" w:rsidRPr="00E706C1">
        <w:t>a regulator of social interaction within the school community</w:t>
      </w:r>
      <w:r w:rsidR="00E800C5" w:rsidRPr="00E706C1">
        <w:t>,</w:t>
      </w:r>
      <w:r w:rsidR="00A1716D" w:rsidRPr="00E706C1">
        <w:t xml:space="preserve"> </w:t>
      </w:r>
      <w:r w:rsidR="00E800C5" w:rsidRPr="00E706C1">
        <w:t xml:space="preserve">who </w:t>
      </w:r>
      <w:r w:rsidR="00A1716D" w:rsidRPr="00E706C1">
        <w:t>reassert</w:t>
      </w:r>
      <w:r w:rsidR="00E800C5" w:rsidRPr="00E706C1">
        <w:t>ed</w:t>
      </w:r>
      <w:r w:rsidR="00A1716D" w:rsidRPr="00E706C1">
        <w:t xml:space="preserve"> the sense of belonging among students.</w:t>
      </w:r>
      <w:r w:rsidR="009505C7" w:rsidRPr="0023783C">
        <w:t xml:space="preserve"> </w:t>
      </w:r>
    </w:p>
    <w:p w14:paraId="7D794CBA" w14:textId="77777777" w:rsidR="00FB091E" w:rsidRDefault="00FB091E" w:rsidP="00997091">
      <w:pPr>
        <w:rPr>
          <w:szCs w:val="24"/>
        </w:rPr>
      </w:pPr>
    </w:p>
    <w:p w14:paraId="31817DDF" w14:textId="77777777" w:rsidR="00FB091E" w:rsidRDefault="00997091" w:rsidP="00997091">
      <w:pPr>
        <w:ind w:firstLine="0"/>
        <w:rPr>
          <w:b/>
        </w:rPr>
      </w:pPr>
      <w:r>
        <w:rPr>
          <w:b/>
        </w:rPr>
        <w:t>Cognitively Engaging S</w:t>
      </w:r>
      <w:r w:rsidR="009D2028" w:rsidRPr="007F68D7">
        <w:rPr>
          <w:b/>
        </w:rPr>
        <w:t>tudying</w:t>
      </w:r>
    </w:p>
    <w:p w14:paraId="4FC6A90E" w14:textId="77777777" w:rsidR="00997091" w:rsidRDefault="00997091" w:rsidP="00997091">
      <w:pPr>
        <w:ind w:firstLine="0"/>
        <w:rPr>
          <w:i/>
          <w:szCs w:val="24"/>
        </w:rPr>
      </w:pPr>
    </w:p>
    <w:p w14:paraId="13505E26" w14:textId="77777777" w:rsidR="00FB091E" w:rsidRDefault="00221B17" w:rsidP="00997091">
      <w:r w:rsidRPr="0023783C">
        <w:t xml:space="preserve">The results showed that cognitively engaging school experiences </w:t>
      </w:r>
      <w:r w:rsidR="00DB4BBF" w:rsidRPr="006D367C">
        <w:t>were brought</w:t>
      </w:r>
      <w:r w:rsidR="00387A18" w:rsidRPr="006D367C">
        <w:t xml:space="preserve"> up by students </w:t>
      </w:r>
      <w:r w:rsidR="009B5409" w:rsidRPr="006D367C">
        <w:t xml:space="preserve">slightly more </w:t>
      </w:r>
      <w:r w:rsidR="005850B0" w:rsidRPr="006D367C">
        <w:t xml:space="preserve">often </w:t>
      </w:r>
      <w:r w:rsidR="009B5409" w:rsidRPr="006D367C">
        <w:t>than the student-teacher interaction</w:t>
      </w:r>
      <w:r w:rsidR="00387A18" w:rsidRPr="006D367C">
        <w:t xml:space="preserve"> (see </w:t>
      </w:r>
      <w:r w:rsidR="009D2028" w:rsidRPr="006D367C">
        <w:t xml:space="preserve">Table </w:t>
      </w:r>
      <w:r w:rsidR="009B5409" w:rsidRPr="006D367C">
        <w:t>1</w:t>
      </w:r>
      <w:r w:rsidR="00387A18" w:rsidRPr="006D367C">
        <w:t>)</w:t>
      </w:r>
      <w:r w:rsidR="00E31BA0" w:rsidRPr="006D367C">
        <w:t>, but</w:t>
      </w:r>
      <w:r w:rsidR="00DC3D52" w:rsidRPr="006D367C">
        <w:t xml:space="preserve"> were not brought up by students to the same extent as e</w:t>
      </w:r>
      <w:r w:rsidR="00387A18" w:rsidRPr="006D367C">
        <w:t xml:space="preserve">motional engaging </w:t>
      </w:r>
      <w:r w:rsidR="00DC3D52" w:rsidRPr="006D367C">
        <w:t>peer interaction</w:t>
      </w:r>
      <w:r w:rsidR="00387A18" w:rsidRPr="006D367C">
        <w:t xml:space="preserve">. </w:t>
      </w:r>
      <w:r w:rsidR="000D1C84" w:rsidRPr="006D367C">
        <w:t xml:space="preserve">However, being cognitively engaged to one´s studies was also a moderate element of school engagement. </w:t>
      </w:r>
      <w:r w:rsidR="00C25E2F" w:rsidRPr="006D367C">
        <w:t>In both positive (</w:t>
      </w:r>
      <w:r w:rsidR="009B5409" w:rsidRPr="006D367C">
        <w:t>19</w:t>
      </w:r>
      <w:r w:rsidR="00C25E2F" w:rsidRPr="006D367C">
        <w:t>%) and negative (1</w:t>
      </w:r>
      <w:r w:rsidR="009B5409" w:rsidRPr="006D367C">
        <w:t>6</w:t>
      </w:r>
      <w:r w:rsidR="00C25E2F" w:rsidRPr="006D367C">
        <w:t>%) school</w:t>
      </w:r>
      <w:r w:rsidR="00363A66" w:rsidRPr="006D367C">
        <w:t xml:space="preserve"> </w:t>
      </w:r>
      <w:r w:rsidR="00C25E2F" w:rsidRPr="006D367C">
        <w:t>experiences</w:t>
      </w:r>
      <w:r w:rsidR="007626FF">
        <w:t xml:space="preserve"> (see Table 1)</w:t>
      </w:r>
      <w:r w:rsidR="0073036F" w:rsidRPr="006D367C">
        <w:t>,</w:t>
      </w:r>
      <w:r w:rsidR="00C25E2F" w:rsidRPr="006D367C">
        <w:t xml:space="preserve"> the personal success or failure in s</w:t>
      </w:r>
      <w:r w:rsidR="00C25E2F" w:rsidRPr="0023783C">
        <w:t xml:space="preserve">ubjects (school achievement), </w:t>
      </w:r>
      <w:r w:rsidR="0073036F" w:rsidRPr="0023783C">
        <w:t xml:space="preserve">the </w:t>
      </w:r>
      <w:r w:rsidR="00C25E2F" w:rsidRPr="0023783C">
        <w:t>effort put in</w:t>
      </w:r>
      <w:r w:rsidR="0073036F" w:rsidRPr="0023783C">
        <w:t>to</w:t>
      </w:r>
      <w:r w:rsidR="00C25E2F" w:rsidRPr="0023783C">
        <w:t xml:space="preserve"> studies</w:t>
      </w:r>
      <w:r w:rsidR="0073036F" w:rsidRPr="0023783C">
        <w:t>,</w:t>
      </w:r>
      <w:r w:rsidR="00C25E2F" w:rsidRPr="0023783C">
        <w:t xml:space="preserve"> or </w:t>
      </w:r>
      <w:r w:rsidR="0073036F" w:rsidRPr="0023783C">
        <w:t xml:space="preserve">the </w:t>
      </w:r>
      <w:r w:rsidR="00C25E2F" w:rsidRPr="0023783C">
        <w:t>lack of it</w:t>
      </w:r>
      <w:r w:rsidR="006242EA" w:rsidRPr="0023783C">
        <w:t>,</w:t>
      </w:r>
      <w:r w:rsidR="00C25E2F" w:rsidRPr="0023783C">
        <w:t xml:space="preserve"> were </w:t>
      </w:r>
      <w:r w:rsidR="007D6C9E">
        <w:t xml:space="preserve">the </w:t>
      </w:r>
      <w:r w:rsidR="00C25E2F" w:rsidRPr="0023783C">
        <w:t>focus of the cognitively engaging or disengaging experience.</w:t>
      </w:r>
      <w:r w:rsidR="008A1CCE" w:rsidRPr="0023783C">
        <w:t xml:space="preserve"> </w:t>
      </w:r>
      <w:r w:rsidR="00413124">
        <w:t>Reports</w:t>
      </w:r>
      <w:r w:rsidR="00413124" w:rsidRPr="007F68D7">
        <w:t xml:space="preserve"> of positive experiences </w:t>
      </w:r>
      <w:r w:rsidR="00413124">
        <w:t xml:space="preserve">(61%) </w:t>
      </w:r>
      <w:r w:rsidR="00413124" w:rsidRPr="007F68D7">
        <w:t>w</w:t>
      </w:r>
      <w:r w:rsidR="00413124">
        <w:t>ere</w:t>
      </w:r>
      <w:r w:rsidR="00413124" w:rsidRPr="007F68D7">
        <w:t xml:space="preserve"> higher than the negative experiences</w:t>
      </w:r>
      <w:r w:rsidR="00413124">
        <w:t xml:space="preserve"> (39%)</w:t>
      </w:r>
      <w:r w:rsidR="00413124" w:rsidRPr="007F68D7">
        <w:t xml:space="preserve"> in this category</w:t>
      </w:r>
      <w:r w:rsidR="00CB25EE">
        <w:t xml:space="preserve"> (see Table 2)</w:t>
      </w:r>
      <w:r w:rsidR="005759C8">
        <w:t xml:space="preserve">. </w:t>
      </w:r>
      <w:r w:rsidR="0073036F" w:rsidRPr="0023783C">
        <w:t>P</w:t>
      </w:r>
      <w:r w:rsidR="008A1CCE" w:rsidRPr="0023783C">
        <w:t xml:space="preserve">ersonal success in studies was perceived </w:t>
      </w:r>
      <w:r w:rsidR="0073036F" w:rsidRPr="0023783C">
        <w:t xml:space="preserve">as a </w:t>
      </w:r>
      <w:r w:rsidR="008A1CCE" w:rsidRPr="0023783C">
        <w:t>cognitively engaging experience</w:t>
      </w:r>
      <w:r w:rsidR="0073036F" w:rsidRPr="0023783C">
        <w:t>,</w:t>
      </w:r>
      <w:r w:rsidR="008A1CCE" w:rsidRPr="0023783C">
        <w:t xml:space="preserve"> </w:t>
      </w:r>
      <w:r w:rsidR="0073036F" w:rsidRPr="0023783C">
        <w:t xml:space="preserve">as </w:t>
      </w:r>
      <w:r w:rsidR="008A1CCE" w:rsidRPr="0023783C">
        <w:t xml:space="preserve">a girl </w:t>
      </w:r>
      <w:r w:rsidR="00166477" w:rsidRPr="0023783C">
        <w:t>with special needs</w:t>
      </w:r>
      <w:r w:rsidR="008A1CCE" w:rsidRPr="0023783C">
        <w:t xml:space="preserve"> stated: “</w:t>
      </w:r>
      <w:r w:rsidR="008A1CCE" w:rsidRPr="0023783C">
        <w:rPr>
          <w:i/>
        </w:rPr>
        <w:t>To get 9s, good grades</w:t>
      </w:r>
      <w:r w:rsidR="008A1CCE" w:rsidRPr="0023783C">
        <w:t>”</w:t>
      </w:r>
      <w:r w:rsidR="00FA406A" w:rsidRPr="0023783C">
        <w:t>.</w:t>
      </w:r>
      <w:r w:rsidR="008A1CCE" w:rsidRPr="0023783C">
        <w:t xml:space="preserve"> In turn, </w:t>
      </w:r>
      <w:r w:rsidR="0073036F" w:rsidRPr="0023783C">
        <w:t xml:space="preserve">an </w:t>
      </w:r>
      <w:r w:rsidR="00FD4C59" w:rsidRPr="0023783C">
        <w:t xml:space="preserve">experienced failure in studies, and further, </w:t>
      </w:r>
      <w:r w:rsidR="0073036F" w:rsidRPr="0023783C">
        <w:t xml:space="preserve">a </w:t>
      </w:r>
      <w:r w:rsidR="00FD4C59" w:rsidRPr="0023783C">
        <w:t>sense of b</w:t>
      </w:r>
      <w:r w:rsidR="006242EA" w:rsidRPr="0023783C">
        <w:t>eing continuously less competent</w:t>
      </w:r>
      <w:r w:rsidR="00FD4C59" w:rsidRPr="0023783C">
        <w:t xml:space="preserve"> than others </w:t>
      </w:r>
      <w:r w:rsidR="0073036F" w:rsidRPr="0023783C">
        <w:t xml:space="preserve">in studies </w:t>
      </w:r>
      <w:r w:rsidR="00FD4C59" w:rsidRPr="0023783C">
        <w:t xml:space="preserve">was also reflected. For instance, </w:t>
      </w:r>
      <w:r w:rsidR="008A1CCE" w:rsidRPr="0023783C">
        <w:t xml:space="preserve">a boy </w:t>
      </w:r>
      <w:r w:rsidR="00166477" w:rsidRPr="0023783C">
        <w:t>with special needs</w:t>
      </w:r>
      <w:r w:rsidR="00FD4C59" w:rsidRPr="0023783C">
        <w:t xml:space="preserve"> </w:t>
      </w:r>
      <w:r w:rsidR="0073036F" w:rsidRPr="0023783C">
        <w:t>commented</w:t>
      </w:r>
      <w:r w:rsidR="008A1CCE" w:rsidRPr="0023783C">
        <w:t>: “</w:t>
      </w:r>
      <w:r w:rsidR="008A1CCE" w:rsidRPr="0023783C">
        <w:rPr>
          <w:i/>
        </w:rPr>
        <w:t>I was bad at schoo</w:t>
      </w:r>
      <w:r w:rsidR="00FA406A" w:rsidRPr="0023783C">
        <w:rPr>
          <w:i/>
        </w:rPr>
        <w:t>l</w:t>
      </w:r>
      <w:r w:rsidR="008A1CCE" w:rsidRPr="0023783C">
        <w:t>”</w:t>
      </w:r>
      <w:r w:rsidR="00FA406A" w:rsidRPr="0023783C">
        <w:t>.</w:t>
      </w:r>
    </w:p>
    <w:p w14:paraId="0D38860A" w14:textId="77777777" w:rsidR="00FB091E" w:rsidRDefault="002757FA" w:rsidP="00997091">
      <w:r w:rsidRPr="00BB7CF6">
        <w:t>All in all</w:t>
      </w:r>
      <w:r>
        <w:t xml:space="preserve">, the results showed (see Table </w:t>
      </w:r>
      <w:r w:rsidR="00CB25EE">
        <w:t>2</w:t>
      </w:r>
      <w:r>
        <w:t xml:space="preserve">) that the emotional engagement in peer interaction (59/41%) and cognitive engagement in studying (61/39%) were perceived more positively than the emotional engagement in student-teacher interaction (42/58%). </w:t>
      </w:r>
    </w:p>
    <w:p w14:paraId="4C7AE3E1" w14:textId="77777777" w:rsidR="00997091" w:rsidRDefault="00997091" w:rsidP="00997091">
      <w:pPr>
        <w:rPr>
          <w:i/>
          <w:szCs w:val="24"/>
        </w:rPr>
      </w:pPr>
    </w:p>
    <w:p w14:paraId="4BB7F23A" w14:textId="77777777" w:rsidR="009174B4" w:rsidRDefault="009174B4" w:rsidP="00997091">
      <w:pPr>
        <w:rPr>
          <w:i/>
          <w:szCs w:val="24"/>
        </w:rPr>
      </w:pPr>
      <w:bookmarkStart w:id="0" w:name="_GoBack"/>
      <w:bookmarkEnd w:id="0"/>
    </w:p>
    <w:p w14:paraId="21851C10" w14:textId="77777777" w:rsidR="00FB091E" w:rsidRDefault="00997091" w:rsidP="00997091">
      <w:pPr>
        <w:ind w:firstLine="0"/>
        <w:rPr>
          <w:b/>
        </w:rPr>
      </w:pPr>
      <w:r>
        <w:rPr>
          <w:b/>
        </w:rPr>
        <w:lastRenderedPageBreak/>
        <w:t>Group D</w:t>
      </w:r>
      <w:r w:rsidR="009D2028" w:rsidRPr="007F68D7">
        <w:rPr>
          <w:b/>
        </w:rPr>
        <w:t>ifferences in th</w:t>
      </w:r>
      <w:r>
        <w:rPr>
          <w:b/>
        </w:rPr>
        <w:t>e Primary Contexts of School E</w:t>
      </w:r>
      <w:r w:rsidR="009D2028" w:rsidRPr="007F68D7">
        <w:rPr>
          <w:b/>
        </w:rPr>
        <w:t>ngagement</w:t>
      </w:r>
    </w:p>
    <w:p w14:paraId="0A9245D1" w14:textId="77777777" w:rsidR="00997091" w:rsidRDefault="00997091" w:rsidP="00997091">
      <w:pPr>
        <w:ind w:firstLine="0"/>
        <w:rPr>
          <w:i/>
          <w:szCs w:val="24"/>
        </w:rPr>
      </w:pPr>
    </w:p>
    <w:p w14:paraId="288D18A7" w14:textId="77777777" w:rsidR="00CE6FCB" w:rsidRDefault="00F34B5E" w:rsidP="00997091">
      <w:r w:rsidRPr="006D367C">
        <w:t xml:space="preserve">Table </w:t>
      </w:r>
      <w:r w:rsidR="00CB25EE">
        <w:t>3</w:t>
      </w:r>
      <w:r w:rsidR="00456F5D" w:rsidRPr="006D367C">
        <w:t xml:space="preserve"> </w:t>
      </w:r>
      <w:r w:rsidR="002536C9">
        <w:t xml:space="preserve">and table 4 </w:t>
      </w:r>
      <w:r w:rsidRPr="006D367C">
        <w:t xml:space="preserve">show that </w:t>
      </w:r>
      <w:r w:rsidR="00447C17" w:rsidRPr="006D367C">
        <w:t xml:space="preserve">engaging </w:t>
      </w:r>
      <w:r w:rsidR="00B8785B" w:rsidRPr="006D367C">
        <w:t>school experiences</w:t>
      </w:r>
      <w:r w:rsidRPr="006D367C">
        <w:t xml:space="preserve"> did not statistically differ </w:t>
      </w:r>
      <w:r w:rsidR="0073036F" w:rsidRPr="006D367C">
        <w:t xml:space="preserve">between students with special needs and students attending general </w:t>
      </w:r>
      <w:r w:rsidR="0077791B" w:rsidRPr="006D367C">
        <w:t>education</w:t>
      </w:r>
      <w:r w:rsidR="0077791B">
        <w:t xml:space="preserve"> </w:t>
      </w:r>
      <w:r w:rsidR="005E5A6B">
        <w:t>(</w:t>
      </w:r>
      <w:r w:rsidR="005E5A6B">
        <w:rPr>
          <w:rFonts w:cs="Times New Roman"/>
        </w:rPr>
        <w:t>χ</w:t>
      </w:r>
      <w:r w:rsidR="005E5A6B" w:rsidRPr="006C639F">
        <w:t>² = 2,85, df = 2, p = .240).</w:t>
      </w:r>
      <w:r w:rsidR="005E5A6B">
        <w:t xml:space="preserve"> (see Table</w:t>
      </w:r>
      <w:r w:rsidR="00A7287F">
        <w:t>s</w:t>
      </w:r>
      <w:r w:rsidR="005E5A6B">
        <w:t xml:space="preserve"> </w:t>
      </w:r>
      <w:r w:rsidR="00CB25EE">
        <w:t>3</w:t>
      </w:r>
      <w:r w:rsidR="002536C9">
        <w:t xml:space="preserve"> and 4</w:t>
      </w:r>
      <w:r w:rsidR="005E5A6B">
        <w:t>)</w:t>
      </w:r>
      <w:r w:rsidR="005E5A6B" w:rsidRPr="006D367C">
        <w:t xml:space="preserve">. </w:t>
      </w:r>
      <w:r w:rsidR="00EE6B17" w:rsidRPr="006D367C">
        <w:t>For all students</w:t>
      </w:r>
      <w:r w:rsidR="00F81F4C" w:rsidRPr="006D367C">
        <w:t>,</w:t>
      </w:r>
      <w:r w:rsidR="00EE6B17" w:rsidRPr="006D367C">
        <w:t xml:space="preserve"> emotional</w:t>
      </w:r>
      <w:r w:rsidR="0073036F" w:rsidRPr="006D367C">
        <w:t>ly</w:t>
      </w:r>
      <w:r w:rsidR="00EE6B17" w:rsidRPr="006D367C">
        <w:t xml:space="preserve"> engaging experiences with peers </w:t>
      </w:r>
      <w:r w:rsidR="006242EA" w:rsidRPr="006D367C">
        <w:t>were emphasized</w:t>
      </w:r>
      <w:r w:rsidR="00EE6B17" w:rsidRPr="006D367C">
        <w:t xml:space="preserve"> </w:t>
      </w:r>
      <w:r w:rsidR="00735355" w:rsidRPr="006D367C">
        <w:t xml:space="preserve">almost </w:t>
      </w:r>
      <w:r w:rsidR="006242EA" w:rsidRPr="006D367C">
        <w:t>the most</w:t>
      </w:r>
      <w:r w:rsidR="00735355" w:rsidRPr="006D367C">
        <w:t xml:space="preserve">, i.e., general education students (61 %) and students with special </w:t>
      </w:r>
      <w:r w:rsidR="00735355" w:rsidRPr="00CB25EE">
        <w:t>needs (8</w:t>
      </w:r>
      <w:r w:rsidR="00C5761A" w:rsidRPr="00CB25EE">
        <w:t>0</w:t>
      </w:r>
      <w:r w:rsidR="00735355" w:rsidRPr="00CB25EE">
        <w:t>%).</w:t>
      </w:r>
      <w:r w:rsidR="00735355" w:rsidRPr="006D367C">
        <w:t xml:space="preserve"> </w:t>
      </w:r>
      <w:r w:rsidR="00322899" w:rsidRPr="006D367C">
        <w:rPr>
          <w:bCs/>
          <w:kern w:val="28"/>
        </w:rPr>
        <w:t xml:space="preserve">Within both groups </w:t>
      </w:r>
      <w:r w:rsidR="00EE6B17" w:rsidRPr="006D367C">
        <w:t xml:space="preserve">students with special needs </w:t>
      </w:r>
      <w:r w:rsidR="00C56228" w:rsidRPr="006D367C">
        <w:t xml:space="preserve">(10 %) </w:t>
      </w:r>
      <w:r w:rsidR="00322899" w:rsidRPr="006D367C">
        <w:t xml:space="preserve">and general education students </w:t>
      </w:r>
      <w:r w:rsidR="00C56228" w:rsidRPr="006D367C">
        <w:t xml:space="preserve">(17 %) </w:t>
      </w:r>
      <w:r w:rsidR="00322899" w:rsidRPr="006D367C">
        <w:t xml:space="preserve">rated quite in similar ways the significance of </w:t>
      </w:r>
      <w:r w:rsidR="005850B0" w:rsidRPr="006D367C">
        <w:t xml:space="preserve">positive </w:t>
      </w:r>
      <w:r w:rsidR="00322899" w:rsidRPr="006D367C">
        <w:t>engaging student-teacher interaction</w:t>
      </w:r>
      <w:r w:rsidR="0000411E" w:rsidRPr="006D367C">
        <w:t>, i.e., a moderate positive experience.</w:t>
      </w:r>
      <w:r w:rsidR="006D16C7" w:rsidRPr="006D367C">
        <w:t xml:space="preserve"> Moderate experiences were also found in the category of cognitively engaging studying, i.e., students with special needs (10 %) and general education students (22 %). However, general education students found being cognitively engaged (22 %) slighter more than being engaged to teachers (17 %).</w:t>
      </w:r>
      <w:r w:rsidR="00996CD0">
        <w:t xml:space="preserve"> (see Table </w:t>
      </w:r>
      <w:r w:rsidR="002536C9">
        <w:t>3</w:t>
      </w:r>
      <w:r w:rsidR="00996CD0">
        <w:t xml:space="preserve">). </w:t>
      </w:r>
      <w:r w:rsidR="002536C9">
        <w:t xml:space="preserve">Table 4 shows that general education students had more positive experiences considering peers, teachers and studying in comparison with students with special needs, However, </w:t>
      </w:r>
      <w:r w:rsidR="002536C9" w:rsidRPr="006D367C">
        <w:t>engaging school experiences did not statistically differ between students with special needs and students attending general education</w:t>
      </w:r>
      <w:r w:rsidR="002536C9">
        <w:t>.</w:t>
      </w:r>
    </w:p>
    <w:p w14:paraId="47F77B36" w14:textId="77777777" w:rsidR="00C13861" w:rsidRDefault="00C13861" w:rsidP="002536C9">
      <w:pPr>
        <w:spacing w:line="360" w:lineRule="auto"/>
      </w:pPr>
    </w:p>
    <w:p w14:paraId="7C3E9776" w14:textId="77777777" w:rsidR="003652F5" w:rsidRDefault="003652F5" w:rsidP="003652F5">
      <w:r w:rsidRPr="0023783C">
        <w:t>Table</w:t>
      </w:r>
      <w:r>
        <w:t>s</w:t>
      </w:r>
      <w:r w:rsidRPr="0023783C">
        <w:t xml:space="preserve"> </w:t>
      </w:r>
      <w:r>
        <w:t>5 and Table 6 s</w:t>
      </w:r>
      <w:r w:rsidRPr="0023783C">
        <w:t xml:space="preserve">how that the students’ disengaging </w:t>
      </w:r>
      <w:r>
        <w:t xml:space="preserve">negative </w:t>
      </w:r>
      <w:r w:rsidRPr="0023783C">
        <w:t xml:space="preserve">school experiences did not differ statistically significantly between the student </w:t>
      </w:r>
      <w:r w:rsidRPr="006D367C">
        <w:t xml:space="preserve">groups </w:t>
      </w:r>
      <w:r>
        <w:t xml:space="preserve">(x2 = 2,14, df=2, p=.343) (see Table 5 and table 6). </w:t>
      </w:r>
      <w:r w:rsidRPr="006D367C">
        <w:rPr>
          <w:rFonts w:cs="Times New Roman"/>
        </w:rPr>
        <w:t>Students with special needs reported similarly emotionally disengaging experiences (74 %) in peer interaction as general education students did (54 %). Both groups´ negative experiences were greatest in this category.</w:t>
      </w:r>
      <w:r>
        <w:rPr>
          <w:rFonts w:cs="Times New Roman"/>
        </w:rPr>
        <w:t xml:space="preserve">  More</w:t>
      </w:r>
      <w:r w:rsidRPr="0023783C">
        <w:rPr>
          <w:rFonts w:cs="Times New Roman"/>
        </w:rPr>
        <w:t>over, the number of cognitively disengaging episodes was similarly reported by both grou</w:t>
      </w:r>
      <w:r>
        <w:rPr>
          <w:rFonts w:cs="Times New Roman"/>
        </w:rPr>
        <w:t xml:space="preserve">ps (see Table 5).  </w:t>
      </w:r>
      <w:r>
        <w:t>Table 6 shows that general education students had more negative experiences considering peers, teachers and studying in comparison with students with special needs.  However, dis</w:t>
      </w:r>
      <w:r w:rsidRPr="006D367C">
        <w:t>engaging school experiences did not statistically differ between students with special needs and students attending general education</w:t>
      </w:r>
      <w:r>
        <w:t xml:space="preserve"> (see Tables 5 and 6).</w:t>
      </w:r>
    </w:p>
    <w:p w14:paraId="084589B3" w14:textId="77777777" w:rsidR="003652F5" w:rsidRDefault="003652F5" w:rsidP="003652F5">
      <w:pPr>
        <w:spacing w:after="200" w:line="276" w:lineRule="auto"/>
        <w:ind w:firstLine="0"/>
      </w:pPr>
    </w:p>
    <w:p w14:paraId="6EC04701" w14:textId="77777777" w:rsidR="003652F5" w:rsidRDefault="003652F5" w:rsidP="003652F5">
      <w:pPr>
        <w:ind w:firstLine="0"/>
        <w:rPr>
          <w:rFonts w:cs="Times New Roman"/>
          <w:b/>
          <w:lang w:val="en-GB"/>
        </w:rPr>
      </w:pPr>
      <w:r w:rsidRPr="007F68D7">
        <w:rPr>
          <w:rFonts w:cs="Times New Roman"/>
          <w:b/>
          <w:lang w:val="en-GB"/>
        </w:rPr>
        <w:t>Summary</w:t>
      </w:r>
      <w:r>
        <w:rPr>
          <w:rFonts w:cs="Times New Roman"/>
          <w:b/>
          <w:lang w:val="en-GB"/>
        </w:rPr>
        <w:t xml:space="preserve"> of Results</w:t>
      </w:r>
    </w:p>
    <w:p w14:paraId="6170ED4B" w14:textId="77777777" w:rsidR="003652F5" w:rsidRDefault="003652F5" w:rsidP="003652F5">
      <w:pPr>
        <w:ind w:firstLine="0"/>
        <w:rPr>
          <w:rFonts w:cs="Times New Roman"/>
          <w:i/>
          <w:szCs w:val="24"/>
          <w:lang w:val="en-GB"/>
        </w:rPr>
      </w:pPr>
    </w:p>
    <w:p w14:paraId="444C40DE" w14:textId="77777777" w:rsidR="00997091" w:rsidRDefault="003652F5" w:rsidP="003652F5">
      <w:pPr>
        <w:spacing w:after="200" w:line="276" w:lineRule="auto"/>
        <w:ind w:firstLine="0"/>
      </w:pPr>
      <w:r w:rsidRPr="0023783C">
        <w:t xml:space="preserve">The primary contexts in which emotionally and cognitively engaging school experiences took place were (1) peer interaction, (2) student–teacher interaction, and (3) studying.  The critical incidents of school engagement were primarily concerned with how the students perceived the quality of interaction between the members of the school community. Emotionally engaging peer interaction was the dominant element of school </w:t>
      </w:r>
      <w:r>
        <w:br w:type="page"/>
      </w:r>
    </w:p>
    <w:tbl>
      <w:tblPr>
        <w:tblW w:w="8915" w:type="dxa"/>
        <w:tblCellMar>
          <w:left w:w="70" w:type="dxa"/>
          <w:right w:w="70" w:type="dxa"/>
        </w:tblCellMar>
        <w:tblLook w:val="04A0" w:firstRow="1" w:lastRow="0" w:firstColumn="1" w:lastColumn="0" w:noHBand="0" w:noVBand="1"/>
      </w:tblPr>
      <w:tblGrid>
        <w:gridCol w:w="5245"/>
        <w:gridCol w:w="1276"/>
        <w:gridCol w:w="1417"/>
        <w:gridCol w:w="977"/>
      </w:tblGrid>
      <w:tr w:rsidR="002757FA" w:rsidRPr="006C639F" w14:paraId="3E238973" w14:textId="77777777" w:rsidTr="00EB1C2D">
        <w:trPr>
          <w:trHeight w:val="315"/>
        </w:trPr>
        <w:tc>
          <w:tcPr>
            <w:tcW w:w="8915" w:type="dxa"/>
            <w:gridSpan w:val="4"/>
            <w:tcBorders>
              <w:top w:val="nil"/>
              <w:left w:val="nil"/>
              <w:bottom w:val="nil"/>
              <w:right w:val="nil"/>
            </w:tcBorders>
            <w:shd w:val="clear" w:color="auto" w:fill="auto"/>
            <w:noWrap/>
            <w:vAlign w:val="center"/>
            <w:hideMark/>
          </w:tcPr>
          <w:p w14:paraId="3C6170B2" w14:textId="77777777" w:rsidR="002757FA" w:rsidRDefault="002757FA" w:rsidP="006921C4">
            <w:pPr>
              <w:ind w:firstLine="0"/>
              <w:rPr>
                <w:rFonts w:eastAsia="Times New Roman" w:cs="Times New Roman"/>
                <w:color w:val="000000"/>
                <w:szCs w:val="24"/>
                <w:lang w:eastAsia="fi-FI"/>
              </w:rPr>
            </w:pPr>
            <w:r w:rsidRPr="006C639F">
              <w:rPr>
                <w:rFonts w:eastAsia="Times New Roman" w:cs="Times New Roman"/>
                <w:b/>
                <w:bCs/>
                <w:color w:val="000000"/>
                <w:szCs w:val="24"/>
                <w:lang w:eastAsia="fi-FI"/>
              </w:rPr>
              <w:lastRenderedPageBreak/>
              <w:t xml:space="preserve">Table </w:t>
            </w:r>
            <w:r w:rsidR="00CB25EE">
              <w:rPr>
                <w:rFonts w:eastAsia="Times New Roman" w:cs="Times New Roman"/>
                <w:b/>
                <w:bCs/>
                <w:color w:val="000000"/>
                <w:szCs w:val="24"/>
                <w:lang w:eastAsia="fi-FI"/>
              </w:rPr>
              <w:t>3</w:t>
            </w:r>
            <w:r w:rsidRPr="006C639F">
              <w:rPr>
                <w:rFonts w:eastAsia="Times New Roman" w:cs="Times New Roman"/>
                <w:b/>
                <w:bCs/>
                <w:color w:val="000000"/>
                <w:szCs w:val="24"/>
                <w:lang w:eastAsia="fi-FI"/>
              </w:rPr>
              <w:t xml:space="preserve">. </w:t>
            </w:r>
            <w:r w:rsidRPr="006C639F">
              <w:rPr>
                <w:rFonts w:eastAsia="Times New Roman" w:cs="Times New Roman"/>
                <w:color w:val="000000"/>
                <w:szCs w:val="24"/>
                <w:lang w:eastAsia="fi-FI"/>
              </w:rPr>
              <w:t xml:space="preserve">The primary contexts of </w:t>
            </w:r>
            <w:r>
              <w:rPr>
                <w:rFonts w:eastAsia="Times New Roman" w:cs="Times New Roman"/>
                <w:color w:val="000000"/>
                <w:szCs w:val="24"/>
                <w:lang w:eastAsia="fi-FI"/>
              </w:rPr>
              <w:t xml:space="preserve">engaging positive </w:t>
            </w:r>
            <w:r w:rsidRPr="006C639F">
              <w:rPr>
                <w:rFonts w:eastAsia="Times New Roman" w:cs="Times New Roman"/>
                <w:color w:val="000000"/>
                <w:szCs w:val="24"/>
                <w:lang w:eastAsia="fi-FI"/>
              </w:rPr>
              <w:t>school experiences</w:t>
            </w:r>
            <w:r w:rsidR="00996CD0">
              <w:rPr>
                <w:rFonts w:eastAsia="Times New Roman" w:cs="Times New Roman"/>
                <w:color w:val="000000"/>
                <w:szCs w:val="24"/>
                <w:lang w:eastAsia="fi-FI"/>
              </w:rPr>
              <w:t xml:space="preserve"> </w:t>
            </w:r>
            <w:r w:rsidR="002536C9">
              <w:rPr>
                <w:rFonts w:eastAsia="Times New Roman" w:cs="Times New Roman"/>
                <w:color w:val="000000"/>
                <w:szCs w:val="24"/>
                <w:lang w:eastAsia="fi-FI"/>
              </w:rPr>
              <w:t>among students with special needs and general education students</w:t>
            </w:r>
          </w:p>
          <w:p w14:paraId="012D33A9" w14:textId="77777777" w:rsidR="003652F5" w:rsidRPr="006C639F" w:rsidRDefault="003652F5" w:rsidP="006921C4">
            <w:pPr>
              <w:ind w:firstLine="0"/>
              <w:rPr>
                <w:rFonts w:eastAsia="Times New Roman" w:cs="Times New Roman"/>
                <w:b/>
                <w:bCs/>
                <w:color w:val="000000"/>
                <w:szCs w:val="24"/>
                <w:lang w:eastAsia="fi-FI"/>
              </w:rPr>
            </w:pPr>
          </w:p>
        </w:tc>
      </w:tr>
      <w:tr w:rsidR="002757FA" w:rsidRPr="006C639F" w14:paraId="4458FE0A" w14:textId="77777777" w:rsidTr="00EB1C2D">
        <w:trPr>
          <w:trHeight w:val="315"/>
        </w:trPr>
        <w:tc>
          <w:tcPr>
            <w:tcW w:w="5245" w:type="dxa"/>
            <w:tcBorders>
              <w:top w:val="single" w:sz="4" w:space="0" w:color="auto"/>
              <w:left w:val="nil"/>
              <w:bottom w:val="single" w:sz="4" w:space="0" w:color="auto"/>
              <w:right w:val="nil"/>
            </w:tcBorders>
            <w:shd w:val="clear" w:color="auto" w:fill="auto"/>
            <w:noWrap/>
            <w:vAlign w:val="bottom"/>
            <w:hideMark/>
          </w:tcPr>
          <w:p w14:paraId="745CDD50" w14:textId="77777777" w:rsidR="002757FA" w:rsidRPr="006C639F" w:rsidRDefault="002757FA" w:rsidP="00EB1C2D">
            <w:pPr>
              <w:ind w:firstLine="0"/>
              <w:rPr>
                <w:rFonts w:eastAsia="Times New Roman" w:cs="Times New Roman"/>
                <w:color w:val="000000"/>
                <w:szCs w:val="24"/>
                <w:lang w:eastAsia="fi-FI"/>
              </w:rPr>
            </w:pPr>
            <w:r w:rsidRPr="006C639F">
              <w:rPr>
                <w:rFonts w:eastAsia="Times New Roman" w:cs="Times New Roman"/>
                <w:color w:val="000000"/>
                <w:szCs w:val="24"/>
                <w:lang w:eastAsia="fi-FI"/>
              </w:rPr>
              <w:t> </w:t>
            </w:r>
          </w:p>
        </w:tc>
        <w:tc>
          <w:tcPr>
            <w:tcW w:w="1276" w:type="dxa"/>
            <w:tcBorders>
              <w:top w:val="single" w:sz="4" w:space="0" w:color="auto"/>
              <w:left w:val="nil"/>
              <w:bottom w:val="single" w:sz="4" w:space="0" w:color="auto"/>
              <w:right w:val="nil"/>
            </w:tcBorders>
            <w:shd w:val="clear" w:color="auto" w:fill="auto"/>
            <w:noWrap/>
            <w:vAlign w:val="bottom"/>
            <w:hideMark/>
          </w:tcPr>
          <w:p w14:paraId="29A337E1"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Group A*</w:t>
            </w:r>
          </w:p>
        </w:tc>
        <w:tc>
          <w:tcPr>
            <w:tcW w:w="1417" w:type="dxa"/>
            <w:tcBorders>
              <w:top w:val="single" w:sz="4" w:space="0" w:color="auto"/>
              <w:left w:val="nil"/>
              <w:bottom w:val="single" w:sz="4" w:space="0" w:color="auto"/>
              <w:right w:val="nil"/>
            </w:tcBorders>
            <w:shd w:val="clear" w:color="auto" w:fill="auto"/>
            <w:noWrap/>
            <w:vAlign w:val="bottom"/>
            <w:hideMark/>
          </w:tcPr>
          <w:p w14:paraId="75A38947"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Group B**</w:t>
            </w:r>
          </w:p>
        </w:tc>
        <w:tc>
          <w:tcPr>
            <w:tcW w:w="977" w:type="dxa"/>
            <w:tcBorders>
              <w:top w:val="single" w:sz="4" w:space="0" w:color="auto"/>
              <w:left w:val="nil"/>
              <w:bottom w:val="single" w:sz="4" w:space="0" w:color="auto"/>
              <w:right w:val="nil"/>
            </w:tcBorders>
            <w:shd w:val="clear" w:color="auto" w:fill="auto"/>
            <w:noWrap/>
            <w:vAlign w:val="bottom"/>
            <w:hideMark/>
          </w:tcPr>
          <w:p w14:paraId="1DD66121"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Total</w:t>
            </w:r>
          </w:p>
        </w:tc>
      </w:tr>
      <w:tr w:rsidR="002757FA" w:rsidRPr="006C639F" w14:paraId="20D72EBF" w14:textId="77777777" w:rsidTr="00EB1C2D">
        <w:trPr>
          <w:trHeight w:val="630"/>
        </w:trPr>
        <w:tc>
          <w:tcPr>
            <w:tcW w:w="5245" w:type="dxa"/>
            <w:tcBorders>
              <w:top w:val="nil"/>
              <w:left w:val="nil"/>
              <w:bottom w:val="nil"/>
              <w:right w:val="nil"/>
            </w:tcBorders>
            <w:shd w:val="clear" w:color="auto" w:fill="auto"/>
            <w:vAlign w:val="bottom"/>
            <w:hideMark/>
          </w:tcPr>
          <w:p w14:paraId="25169150" w14:textId="77777777" w:rsidR="002757FA" w:rsidRPr="006C639F" w:rsidRDefault="002757FA" w:rsidP="00EB1C2D">
            <w:pPr>
              <w:ind w:firstLine="0"/>
              <w:rPr>
                <w:rFonts w:eastAsia="Times New Roman" w:cs="Times New Roman"/>
                <w:color w:val="000000"/>
                <w:szCs w:val="24"/>
                <w:lang w:eastAsia="fi-FI"/>
              </w:rPr>
            </w:pPr>
            <w:r w:rsidRPr="006C639F">
              <w:rPr>
                <w:rFonts w:eastAsia="Times New Roman" w:cs="Times New Roman"/>
                <w:color w:val="000000"/>
                <w:szCs w:val="24"/>
                <w:lang w:val="en-GB" w:eastAsia="fi-FI"/>
              </w:rPr>
              <w:t>Emotionally engaging peer interaction (n)</w:t>
            </w:r>
          </w:p>
        </w:tc>
        <w:tc>
          <w:tcPr>
            <w:tcW w:w="1276" w:type="dxa"/>
            <w:tcBorders>
              <w:top w:val="nil"/>
              <w:left w:val="nil"/>
              <w:bottom w:val="nil"/>
              <w:right w:val="nil"/>
            </w:tcBorders>
            <w:shd w:val="clear" w:color="auto" w:fill="auto"/>
            <w:noWrap/>
            <w:vAlign w:val="bottom"/>
            <w:hideMark/>
          </w:tcPr>
          <w:p w14:paraId="6DD16F12"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bCs/>
                <w:color w:val="000000"/>
                <w:szCs w:val="24"/>
                <w:lang w:eastAsia="fi-FI"/>
              </w:rPr>
              <w:t>17</w:t>
            </w:r>
          </w:p>
        </w:tc>
        <w:tc>
          <w:tcPr>
            <w:tcW w:w="1417" w:type="dxa"/>
            <w:tcBorders>
              <w:top w:val="nil"/>
              <w:left w:val="nil"/>
              <w:bottom w:val="nil"/>
              <w:right w:val="nil"/>
            </w:tcBorders>
            <w:shd w:val="clear" w:color="auto" w:fill="auto"/>
            <w:noWrap/>
            <w:vAlign w:val="bottom"/>
            <w:hideMark/>
          </w:tcPr>
          <w:p w14:paraId="169EEA8C"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51</w:t>
            </w:r>
          </w:p>
        </w:tc>
        <w:tc>
          <w:tcPr>
            <w:tcW w:w="977" w:type="dxa"/>
            <w:tcBorders>
              <w:top w:val="nil"/>
              <w:left w:val="nil"/>
              <w:bottom w:val="nil"/>
              <w:right w:val="nil"/>
            </w:tcBorders>
            <w:shd w:val="clear" w:color="auto" w:fill="auto"/>
            <w:noWrap/>
            <w:vAlign w:val="bottom"/>
            <w:hideMark/>
          </w:tcPr>
          <w:p w14:paraId="6998AAA3"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68</w:t>
            </w:r>
          </w:p>
        </w:tc>
      </w:tr>
      <w:tr w:rsidR="002757FA" w:rsidRPr="006C639F" w14:paraId="258714E8" w14:textId="77777777" w:rsidTr="00EB1C2D">
        <w:trPr>
          <w:trHeight w:val="315"/>
        </w:trPr>
        <w:tc>
          <w:tcPr>
            <w:tcW w:w="5245" w:type="dxa"/>
            <w:tcBorders>
              <w:top w:val="nil"/>
              <w:left w:val="nil"/>
              <w:bottom w:val="nil"/>
              <w:right w:val="nil"/>
            </w:tcBorders>
            <w:shd w:val="clear" w:color="auto" w:fill="auto"/>
            <w:vAlign w:val="bottom"/>
            <w:hideMark/>
          </w:tcPr>
          <w:p w14:paraId="7A290EB4" w14:textId="77777777" w:rsidR="002757FA" w:rsidRPr="006C639F" w:rsidRDefault="002757FA"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14260DDF" w14:textId="77777777" w:rsidR="002757FA" w:rsidRPr="006C639F" w:rsidRDefault="00996CD0" w:rsidP="00996CD0">
            <w:pPr>
              <w:ind w:firstLine="0"/>
              <w:rPr>
                <w:rFonts w:eastAsia="Times New Roman" w:cs="Times New Roman"/>
                <w:color w:val="000000"/>
                <w:szCs w:val="24"/>
                <w:lang w:val="fi-FI" w:eastAsia="fi-FI"/>
              </w:rPr>
            </w:pPr>
            <w:r>
              <w:rPr>
                <w:rFonts w:eastAsia="Times New Roman" w:cs="Times New Roman"/>
                <w:color w:val="000000"/>
                <w:szCs w:val="24"/>
                <w:lang w:val="fi-FI" w:eastAsia="fi-FI"/>
              </w:rPr>
              <w:t>80</w:t>
            </w:r>
            <w:r w:rsidR="002757FA" w:rsidRPr="006C639F">
              <w:rPr>
                <w:rFonts w:eastAsia="Times New Roman" w:cs="Times New Roman"/>
                <w:color w:val="000000"/>
                <w:szCs w:val="24"/>
                <w:lang w:val="fi-FI" w:eastAsia="fi-FI"/>
              </w:rPr>
              <w:t xml:space="preserve"> %</w:t>
            </w:r>
          </w:p>
        </w:tc>
        <w:tc>
          <w:tcPr>
            <w:tcW w:w="1417" w:type="dxa"/>
            <w:tcBorders>
              <w:top w:val="nil"/>
              <w:left w:val="nil"/>
              <w:bottom w:val="nil"/>
              <w:right w:val="nil"/>
            </w:tcBorders>
            <w:shd w:val="clear" w:color="auto" w:fill="auto"/>
            <w:noWrap/>
            <w:vAlign w:val="bottom"/>
            <w:hideMark/>
          </w:tcPr>
          <w:p w14:paraId="12EEEEDE" w14:textId="77777777" w:rsidR="002757FA" w:rsidRPr="006C639F" w:rsidRDefault="00996CD0" w:rsidP="00996CD0">
            <w:pPr>
              <w:ind w:firstLine="0"/>
              <w:rPr>
                <w:rFonts w:eastAsia="Times New Roman" w:cs="Times New Roman"/>
                <w:color w:val="000000"/>
                <w:szCs w:val="24"/>
                <w:lang w:val="fi-FI" w:eastAsia="fi-FI"/>
              </w:rPr>
            </w:pPr>
            <w:r>
              <w:rPr>
                <w:rFonts w:eastAsia="Times New Roman" w:cs="Times New Roman"/>
                <w:color w:val="000000"/>
                <w:szCs w:val="24"/>
                <w:lang w:val="fi-FI" w:eastAsia="fi-FI"/>
              </w:rPr>
              <w:t>61</w:t>
            </w:r>
            <w:r w:rsidR="002757FA" w:rsidRPr="006C639F">
              <w:rPr>
                <w:rFonts w:eastAsia="Times New Roman" w:cs="Times New Roman"/>
                <w:color w:val="000000"/>
                <w:szCs w:val="24"/>
                <w:lang w:val="fi-FI" w:eastAsia="fi-FI"/>
              </w:rPr>
              <w:t xml:space="preserve"> %</w:t>
            </w:r>
          </w:p>
        </w:tc>
        <w:tc>
          <w:tcPr>
            <w:tcW w:w="977" w:type="dxa"/>
            <w:tcBorders>
              <w:top w:val="nil"/>
              <w:left w:val="nil"/>
              <w:bottom w:val="nil"/>
              <w:right w:val="nil"/>
            </w:tcBorders>
            <w:shd w:val="clear" w:color="auto" w:fill="auto"/>
            <w:noWrap/>
            <w:vAlign w:val="bottom"/>
            <w:hideMark/>
          </w:tcPr>
          <w:p w14:paraId="734E7FBB" w14:textId="77777777" w:rsidR="002757FA" w:rsidRPr="006C639F" w:rsidRDefault="002757FA" w:rsidP="00EB1C2D">
            <w:pPr>
              <w:ind w:firstLine="0"/>
              <w:rPr>
                <w:rFonts w:eastAsia="Times New Roman" w:cs="Times New Roman"/>
                <w:color w:val="000000"/>
                <w:szCs w:val="24"/>
                <w:lang w:val="fi-FI" w:eastAsia="fi-FI"/>
              </w:rPr>
            </w:pPr>
          </w:p>
        </w:tc>
      </w:tr>
      <w:tr w:rsidR="002757FA" w:rsidRPr="006C639F" w14:paraId="61430509" w14:textId="77777777" w:rsidTr="00EB1C2D">
        <w:trPr>
          <w:trHeight w:val="315"/>
        </w:trPr>
        <w:tc>
          <w:tcPr>
            <w:tcW w:w="5245" w:type="dxa"/>
            <w:tcBorders>
              <w:top w:val="nil"/>
              <w:left w:val="nil"/>
              <w:bottom w:val="nil"/>
              <w:right w:val="nil"/>
            </w:tcBorders>
            <w:shd w:val="clear" w:color="auto" w:fill="auto"/>
            <w:vAlign w:val="bottom"/>
            <w:hideMark/>
          </w:tcPr>
          <w:p w14:paraId="4A39D861" w14:textId="77777777" w:rsidR="002757FA" w:rsidRPr="006C639F" w:rsidRDefault="002757FA"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282EE1BF" w14:textId="77777777" w:rsidR="002757FA" w:rsidRPr="006C639F" w:rsidRDefault="002757FA" w:rsidP="00EB1C2D">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bottom"/>
            <w:hideMark/>
          </w:tcPr>
          <w:p w14:paraId="2997346E" w14:textId="77777777" w:rsidR="002757FA" w:rsidRPr="006C639F" w:rsidRDefault="002757FA" w:rsidP="00EB1C2D">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28C323D9" w14:textId="77777777" w:rsidR="002757FA" w:rsidRPr="006C639F" w:rsidRDefault="002757FA" w:rsidP="00EB1C2D">
            <w:pPr>
              <w:ind w:firstLine="0"/>
              <w:rPr>
                <w:rFonts w:eastAsia="Times New Roman" w:cs="Times New Roman"/>
                <w:color w:val="000000"/>
                <w:szCs w:val="24"/>
                <w:lang w:val="fi-FI" w:eastAsia="fi-FI"/>
              </w:rPr>
            </w:pPr>
          </w:p>
        </w:tc>
      </w:tr>
      <w:tr w:rsidR="002757FA" w:rsidRPr="006C639F" w14:paraId="4A9B5002" w14:textId="77777777" w:rsidTr="00EB1C2D">
        <w:trPr>
          <w:trHeight w:val="945"/>
        </w:trPr>
        <w:tc>
          <w:tcPr>
            <w:tcW w:w="5245" w:type="dxa"/>
            <w:tcBorders>
              <w:top w:val="nil"/>
              <w:left w:val="nil"/>
              <w:bottom w:val="nil"/>
              <w:right w:val="nil"/>
            </w:tcBorders>
            <w:shd w:val="clear" w:color="auto" w:fill="auto"/>
            <w:vAlign w:val="bottom"/>
            <w:hideMark/>
          </w:tcPr>
          <w:p w14:paraId="632515DD" w14:textId="77777777" w:rsidR="002757FA" w:rsidRPr="006C639F" w:rsidRDefault="002757FA" w:rsidP="00EB1C2D">
            <w:pPr>
              <w:ind w:firstLine="0"/>
              <w:rPr>
                <w:rFonts w:eastAsia="Times New Roman" w:cs="Times New Roman"/>
                <w:color w:val="000000"/>
                <w:szCs w:val="24"/>
                <w:lang w:eastAsia="fi-FI"/>
              </w:rPr>
            </w:pPr>
            <w:r w:rsidRPr="006C639F">
              <w:rPr>
                <w:rFonts w:eastAsia="Times New Roman" w:cs="Times New Roman"/>
                <w:bCs/>
                <w:color w:val="000000"/>
                <w:szCs w:val="24"/>
                <w:lang w:eastAsia="fi-FI"/>
              </w:rPr>
              <w:t>Emotionally engaging student– teacher interaction (n)</w:t>
            </w:r>
          </w:p>
        </w:tc>
        <w:tc>
          <w:tcPr>
            <w:tcW w:w="1276" w:type="dxa"/>
            <w:tcBorders>
              <w:top w:val="nil"/>
              <w:left w:val="nil"/>
              <w:bottom w:val="nil"/>
              <w:right w:val="nil"/>
            </w:tcBorders>
            <w:shd w:val="clear" w:color="auto" w:fill="auto"/>
            <w:noWrap/>
            <w:vAlign w:val="bottom"/>
            <w:hideMark/>
          </w:tcPr>
          <w:p w14:paraId="20C4B932"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w:t>
            </w:r>
          </w:p>
        </w:tc>
        <w:tc>
          <w:tcPr>
            <w:tcW w:w="1417" w:type="dxa"/>
            <w:tcBorders>
              <w:top w:val="nil"/>
              <w:left w:val="nil"/>
              <w:bottom w:val="nil"/>
              <w:right w:val="nil"/>
            </w:tcBorders>
            <w:shd w:val="clear" w:color="auto" w:fill="auto"/>
            <w:noWrap/>
            <w:vAlign w:val="bottom"/>
            <w:hideMark/>
          </w:tcPr>
          <w:p w14:paraId="36017AF2"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14</w:t>
            </w:r>
          </w:p>
        </w:tc>
        <w:tc>
          <w:tcPr>
            <w:tcW w:w="977" w:type="dxa"/>
            <w:tcBorders>
              <w:top w:val="nil"/>
              <w:left w:val="nil"/>
              <w:bottom w:val="nil"/>
              <w:right w:val="nil"/>
            </w:tcBorders>
            <w:shd w:val="clear" w:color="auto" w:fill="auto"/>
            <w:noWrap/>
            <w:vAlign w:val="bottom"/>
            <w:hideMark/>
          </w:tcPr>
          <w:p w14:paraId="71D67033"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16</w:t>
            </w:r>
          </w:p>
        </w:tc>
      </w:tr>
      <w:tr w:rsidR="002757FA" w:rsidRPr="006C639F" w14:paraId="42524305" w14:textId="77777777" w:rsidTr="00EB1C2D">
        <w:trPr>
          <w:trHeight w:val="315"/>
        </w:trPr>
        <w:tc>
          <w:tcPr>
            <w:tcW w:w="5245" w:type="dxa"/>
            <w:tcBorders>
              <w:top w:val="nil"/>
              <w:left w:val="nil"/>
              <w:bottom w:val="nil"/>
              <w:right w:val="nil"/>
            </w:tcBorders>
            <w:shd w:val="clear" w:color="auto" w:fill="auto"/>
            <w:vAlign w:val="bottom"/>
            <w:hideMark/>
          </w:tcPr>
          <w:p w14:paraId="435943C1" w14:textId="77777777" w:rsidR="002757FA" w:rsidRPr="006C639F" w:rsidRDefault="002757FA"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52891396" w14:textId="77777777" w:rsidR="002757FA" w:rsidRPr="006C639F" w:rsidRDefault="002757FA" w:rsidP="00996CD0">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w:t>
            </w:r>
            <w:r w:rsidR="00996CD0">
              <w:rPr>
                <w:rFonts w:eastAsia="Times New Roman" w:cs="Times New Roman"/>
                <w:color w:val="000000"/>
                <w:szCs w:val="24"/>
                <w:lang w:val="fi-FI" w:eastAsia="fi-FI"/>
              </w:rPr>
              <w:t>0</w:t>
            </w:r>
            <w:r w:rsidRPr="006C639F">
              <w:rPr>
                <w:rFonts w:eastAsia="Times New Roman" w:cs="Times New Roman"/>
                <w:color w:val="000000"/>
                <w:szCs w:val="24"/>
                <w:lang w:val="fi-FI" w:eastAsia="fi-FI"/>
              </w:rPr>
              <w:t xml:space="preserve"> %</w:t>
            </w:r>
          </w:p>
        </w:tc>
        <w:tc>
          <w:tcPr>
            <w:tcW w:w="1417" w:type="dxa"/>
            <w:tcBorders>
              <w:top w:val="nil"/>
              <w:left w:val="nil"/>
              <w:bottom w:val="nil"/>
              <w:right w:val="nil"/>
            </w:tcBorders>
            <w:shd w:val="clear" w:color="auto" w:fill="auto"/>
            <w:noWrap/>
            <w:vAlign w:val="bottom"/>
            <w:hideMark/>
          </w:tcPr>
          <w:p w14:paraId="6FC13E7A" w14:textId="77777777" w:rsidR="002757FA" w:rsidRPr="006C639F" w:rsidRDefault="00996CD0" w:rsidP="00996CD0">
            <w:pPr>
              <w:ind w:firstLine="0"/>
              <w:rPr>
                <w:rFonts w:eastAsia="Times New Roman" w:cs="Times New Roman"/>
                <w:color w:val="000000"/>
                <w:szCs w:val="24"/>
                <w:lang w:val="fi-FI" w:eastAsia="fi-FI"/>
              </w:rPr>
            </w:pPr>
            <w:r>
              <w:rPr>
                <w:rFonts w:eastAsia="Times New Roman" w:cs="Times New Roman"/>
                <w:color w:val="000000"/>
                <w:szCs w:val="24"/>
                <w:lang w:val="fi-FI" w:eastAsia="fi-FI"/>
              </w:rPr>
              <w:t>17</w:t>
            </w:r>
            <w:r w:rsidR="002757FA" w:rsidRPr="006C639F">
              <w:rPr>
                <w:rFonts w:eastAsia="Times New Roman" w:cs="Times New Roman"/>
                <w:color w:val="000000"/>
                <w:szCs w:val="24"/>
                <w:lang w:val="fi-FI" w:eastAsia="fi-FI"/>
              </w:rPr>
              <w:t xml:space="preserve"> %</w:t>
            </w:r>
          </w:p>
        </w:tc>
        <w:tc>
          <w:tcPr>
            <w:tcW w:w="977" w:type="dxa"/>
            <w:tcBorders>
              <w:top w:val="nil"/>
              <w:left w:val="nil"/>
              <w:bottom w:val="nil"/>
              <w:right w:val="nil"/>
            </w:tcBorders>
            <w:shd w:val="clear" w:color="auto" w:fill="auto"/>
            <w:noWrap/>
            <w:vAlign w:val="bottom"/>
            <w:hideMark/>
          </w:tcPr>
          <w:p w14:paraId="6386B81E" w14:textId="77777777" w:rsidR="002757FA" w:rsidRPr="006C639F" w:rsidRDefault="002757FA" w:rsidP="00EB1C2D">
            <w:pPr>
              <w:ind w:firstLine="0"/>
              <w:rPr>
                <w:rFonts w:eastAsia="Times New Roman" w:cs="Times New Roman"/>
                <w:color w:val="000000"/>
                <w:szCs w:val="24"/>
                <w:lang w:val="fi-FI" w:eastAsia="fi-FI"/>
              </w:rPr>
            </w:pPr>
          </w:p>
        </w:tc>
      </w:tr>
      <w:tr w:rsidR="002757FA" w:rsidRPr="006C639F" w14:paraId="3E2BA526" w14:textId="77777777" w:rsidTr="00EB1C2D">
        <w:trPr>
          <w:trHeight w:val="315"/>
        </w:trPr>
        <w:tc>
          <w:tcPr>
            <w:tcW w:w="5245" w:type="dxa"/>
            <w:tcBorders>
              <w:top w:val="nil"/>
              <w:left w:val="nil"/>
              <w:bottom w:val="nil"/>
              <w:right w:val="nil"/>
            </w:tcBorders>
            <w:shd w:val="clear" w:color="auto" w:fill="auto"/>
            <w:vAlign w:val="bottom"/>
            <w:hideMark/>
          </w:tcPr>
          <w:p w14:paraId="68E1F4C6" w14:textId="77777777" w:rsidR="002757FA" w:rsidRPr="006C639F" w:rsidRDefault="002757FA"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3F784797" w14:textId="77777777" w:rsidR="002757FA" w:rsidRPr="006C639F" w:rsidRDefault="002757FA" w:rsidP="00EB1C2D">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bottom"/>
            <w:hideMark/>
          </w:tcPr>
          <w:p w14:paraId="045F48C5" w14:textId="77777777" w:rsidR="002757FA" w:rsidRPr="006C639F" w:rsidRDefault="002757FA" w:rsidP="00EB1C2D">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56776A08" w14:textId="77777777" w:rsidR="002757FA" w:rsidRPr="006C639F" w:rsidRDefault="002757FA" w:rsidP="00EB1C2D">
            <w:pPr>
              <w:ind w:firstLine="0"/>
              <w:rPr>
                <w:rFonts w:eastAsia="Times New Roman" w:cs="Times New Roman"/>
                <w:color w:val="000000"/>
                <w:szCs w:val="24"/>
                <w:lang w:val="fi-FI" w:eastAsia="fi-FI"/>
              </w:rPr>
            </w:pPr>
          </w:p>
        </w:tc>
      </w:tr>
      <w:tr w:rsidR="002757FA" w:rsidRPr="006C639F" w14:paraId="7CC584DA" w14:textId="77777777" w:rsidTr="00EB1C2D">
        <w:trPr>
          <w:trHeight w:val="630"/>
        </w:trPr>
        <w:tc>
          <w:tcPr>
            <w:tcW w:w="5245" w:type="dxa"/>
            <w:tcBorders>
              <w:top w:val="nil"/>
              <w:left w:val="nil"/>
              <w:bottom w:val="nil"/>
              <w:right w:val="nil"/>
            </w:tcBorders>
            <w:shd w:val="clear" w:color="auto" w:fill="auto"/>
            <w:vAlign w:val="bottom"/>
            <w:hideMark/>
          </w:tcPr>
          <w:p w14:paraId="2B6B8064"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bCs/>
                <w:color w:val="000000"/>
                <w:szCs w:val="24"/>
                <w:lang w:eastAsia="fi-FI"/>
              </w:rPr>
              <w:t>Cognitively engaging studying (n)</w:t>
            </w:r>
          </w:p>
        </w:tc>
        <w:tc>
          <w:tcPr>
            <w:tcW w:w="1276" w:type="dxa"/>
            <w:tcBorders>
              <w:top w:val="nil"/>
              <w:left w:val="nil"/>
              <w:bottom w:val="nil"/>
              <w:right w:val="nil"/>
            </w:tcBorders>
            <w:shd w:val="clear" w:color="auto" w:fill="auto"/>
            <w:noWrap/>
            <w:vAlign w:val="bottom"/>
            <w:hideMark/>
          </w:tcPr>
          <w:p w14:paraId="56295125"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bCs/>
                <w:color w:val="000000"/>
                <w:szCs w:val="24"/>
                <w:lang w:eastAsia="fi-FI"/>
              </w:rPr>
              <w:t>2</w:t>
            </w:r>
          </w:p>
        </w:tc>
        <w:tc>
          <w:tcPr>
            <w:tcW w:w="1417" w:type="dxa"/>
            <w:tcBorders>
              <w:top w:val="nil"/>
              <w:left w:val="nil"/>
              <w:bottom w:val="nil"/>
              <w:right w:val="nil"/>
            </w:tcBorders>
            <w:shd w:val="clear" w:color="auto" w:fill="auto"/>
            <w:noWrap/>
            <w:vAlign w:val="bottom"/>
            <w:hideMark/>
          </w:tcPr>
          <w:p w14:paraId="0A1AE9F6"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18</w:t>
            </w:r>
          </w:p>
        </w:tc>
        <w:tc>
          <w:tcPr>
            <w:tcW w:w="977" w:type="dxa"/>
            <w:tcBorders>
              <w:top w:val="nil"/>
              <w:left w:val="nil"/>
              <w:bottom w:val="nil"/>
              <w:right w:val="nil"/>
            </w:tcBorders>
            <w:shd w:val="clear" w:color="auto" w:fill="auto"/>
            <w:noWrap/>
            <w:vAlign w:val="bottom"/>
            <w:hideMark/>
          </w:tcPr>
          <w:p w14:paraId="458E3CF6"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20</w:t>
            </w:r>
          </w:p>
        </w:tc>
      </w:tr>
      <w:tr w:rsidR="002757FA" w:rsidRPr="006C639F" w14:paraId="48611916" w14:textId="77777777" w:rsidTr="00EB1C2D">
        <w:trPr>
          <w:trHeight w:val="315"/>
        </w:trPr>
        <w:tc>
          <w:tcPr>
            <w:tcW w:w="5245" w:type="dxa"/>
            <w:tcBorders>
              <w:top w:val="nil"/>
              <w:left w:val="nil"/>
              <w:bottom w:val="nil"/>
              <w:right w:val="nil"/>
            </w:tcBorders>
            <w:shd w:val="clear" w:color="auto" w:fill="auto"/>
            <w:vAlign w:val="bottom"/>
            <w:hideMark/>
          </w:tcPr>
          <w:p w14:paraId="40869715" w14:textId="77777777" w:rsidR="002757FA" w:rsidRPr="006C639F" w:rsidRDefault="002757FA"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065ECC16"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10 %</w:t>
            </w:r>
          </w:p>
        </w:tc>
        <w:tc>
          <w:tcPr>
            <w:tcW w:w="1417" w:type="dxa"/>
            <w:tcBorders>
              <w:top w:val="nil"/>
              <w:left w:val="nil"/>
              <w:bottom w:val="nil"/>
              <w:right w:val="nil"/>
            </w:tcBorders>
            <w:shd w:val="clear" w:color="auto" w:fill="auto"/>
            <w:noWrap/>
            <w:vAlign w:val="bottom"/>
            <w:hideMark/>
          </w:tcPr>
          <w:p w14:paraId="7DC81818" w14:textId="77777777" w:rsidR="002757FA" w:rsidRPr="006C639F" w:rsidRDefault="00996CD0" w:rsidP="00996CD0">
            <w:pPr>
              <w:ind w:firstLine="0"/>
              <w:rPr>
                <w:rFonts w:eastAsia="Times New Roman" w:cs="Times New Roman"/>
                <w:color w:val="000000"/>
                <w:szCs w:val="24"/>
                <w:lang w:val="fi-FI" w:eastAsia="fi-FI"/>
              </w:rPr>
            </w:pPr>
            <w:r>
              <w:rPr>
                <w:rFonts w:eastAsia="Times New Roman" w:cs="Times New Roman"/>
                <w:color w:val="000000"/>
                <w:szCs w:val="24"/>
                <w:lang w:val="fi-FI" w:eastAsia="fi-FI"/>
              </w:rPr>
              <w:t>22</w:t>
            </w:r>
            <w:r w:rsidR="002757FA" w:rsidRPr="006C639F">
              <w:rPr>
                <w:rFonts w:eastAsia="Times New Roman" w:cs="Times New Roman"/>
                <w:color w:val="000000"/>
                <w:szCs w:val="24"/>
                <w:lang w:val="fi-FI" w:eastAsia="fi-FI"/>
              </w:rPr>
              <w:t xml:space="preserve"> %</w:t>
            </w:r>
          </w:p>
        </w:tc>
        <w:tc>
          <w:tcPr>
            <w:tcW w:w="977" w:type="dxa"/>
            <w:tcBorders>
              <w:top w:val="nil"/>
              <w:left w:val="nil"/>
              <w:bottom w:val="nil"/>
              <w:right w:val="nil"/>
            </w:tcBorders>
            <w:shd w:val="clear" w:color="auto" w:fill="auto"/>
            <w:noWrap/>
            <w:vAlign w:val="bottom"/>
            <w:hideMark/>
          </w:tcPr>
          <w:p w14:paraId="00514217" w14:textId="77777777" w:rsidR="002757FA" w:rsidRPr="006C639F" w:rsidRDefault="002757FA" w:rsidP="00EB1C2D">
            <w:pPr>
              <w:ind w:firstLine="0"/>
              <w:rPr>
                <w:rFonts w:eastAsia="Times New Roman" w:cs="Times New Roman"/>
                <w:color w:val="000000"/>
                <w:szCs w:val="24"/>
                <w:lang w:val="fi-FI" w:eastAsia="fi-FI"/>
              </w:rPr>
            </w:pPr>
          </w:p>
        </w:tc>
      </w:tr>
      <w:tr w:rsidR="002757FA" w:rsidRPr="006C639F" w14:paraId="6FB5918C" w14:textId="77777777" w:rsidTr="00EB1C2D">
        <w:trPr>
          <w:trHeight w:val="315"/>
        </w:trPr>
        <w:tc>
          <w:tcPr>
            <w:tcW w:w="5245" w:type="dxa"/>
            <w:tcBorders>
              <w:top w:val="nil"/>
              <w:left w:val="nil"/>
              <w:bottom w:val="nil"/>
              <w:right w:val="nil"/>
            </w:tcBorders>
            <w:shd w:val="clear" w:color="auto" w:fill="auto"/>
            <w:vAlign w:val="bottom"/>
            <w:hideMark/>
          </w:tcPr>
          <w:p w14:paraId="500C4BB1" w14:textId="77777777" w:rsidR="002757FA" w:rsidRPr="006C639F" w:rsidRDefault="002757FA"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02C0A058" w14:textId="77777777" w:rsidR="002757FA" w:rsidRPr="006C639F" w:rsidRDefault="002757FA" w:rsidP="00EB1C2D">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bottom"/>
            <w:hideMark/>
          </w:tcPr>
          <w:p w14:paraId="32D3F7AF" w14:textId="77777777" w:rsidR="002757FA" w:rsidRPr="006C639F" w:rsidRDefault="002757FA" w:rsidP="00EB1C2D">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08D1B265" w14:textId="77777777" w:rsidR="002757FA" w:rsidRPr="006C639F" w:rsidRDefault="002757FA" w:rsidP="00EB1C2D">
            <w:pPr>
              <w:ind w:firstLine="0"/>
              <w:rPr>
                <w:rFonts w:eastAsia="Times New Roman" w:cs="Times New Roman"/>
                <w:color w:val="000000"/>
                <w:szCs w:val="24"/>
                <w:lang w:val="fi-FI" w:eastAsia="fi-FI"/>
              </w:rPr>
            </w:pPr>
          </w:p>
        </w:tc>
      </w:tr>
      <w:tr w:rsidR="002757FA" w:rsidRPr="006C639F" w14:paraId="3E083354" w14:textId="77777777" w:rsidTr="00EB1C2D">
        <w:trPr>
          <w:trHeight w:val="315"/>
        </w:trPr>
        <w:tc>
          <w:tcPr>
            <w:tcW w:w="5245" w:type="dxa"/>
            <w:tcBorders>
              <w:top w:val="nil"/>
              <w:left w:val="nil"/>
              <w:bottom w:val="nil"/>
              <w:right w:val="nil"/>
            </w:tcBorders>
            <w:shd w:val="clear" w:color="auto" w:fill="auto"/>
            <w:vAlign w:val="bottom"/>
            <w:hideMark/>
          </w:tcPr>
          <w:p w14:paraId="239DA54B"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bCs/>
                <w:color w:val="000000"/>
                <w:szCs w:val="24"/>
                <w:lang w:eastAsia="fi-FI"/>
              </w:rPr>
              <w:t>Total</w:t>
            </w:r>
          </w:p>
        </w:tc>
        <w:tc>
          <w:tcPr>
            <w:tcW w:w="1276" w:type="dxa"/>
            <w:tcBorders>
              <w:top w:val="nil"/>
              <w:left w:val="nil"/>
              <w:bottom w:val="nil"/>
              <w:right w:val="nil"/>
            </w:tcBorders>
            <w:shd w:val="clear" w:color="auto" w:fill="auto"/>
            <w:noWrap/>
            <w:vAlign w:val="bottom"/>
            <w:hideMark/>
          </w:tcPr>
          <w:p w14:paraId="71DAE46B"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21</w:t>
            </w:r>
          </w:p>
        </w:tc>
        <w:tc>
          <w:tcPr>
            <w:tcW w:w="1417" w:type="dxa"/>
            <w:tcBorders>
              <w:top w:val="nil"/>
              <w:left w:val="nil"/>
              <w:bottom w:val="nil"/>
              <w:right w:val="nil"/>
            </w:tcBorders>
            <w:shd w:val="clear" w:color="auto" w:fill="auto"/>
            <w:noWrap/>
            <w:vAlign w:val="bottom"/>
            <w:hideMark/>
          </w:tcPr>
          <w:p w14:paraId="7579C338"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83</w:t>
            </w:r>
          </w:p>
        </w:tc>
        <w:tc>
          <w:tcPr>
            <w:tcW w:w="977" w:type="dxa"/>
            <w:tcBorders>
              <w:top w:val="nil"/>
              <w:left w:val="nil"/>
              <w:bottom w:val="nil"/>
              <w:right w:val="nil"/>
            </w:tcBorders>
            <w:shd w:val="clear" w:color="auto" w:fill="auto"/>
            <w:noWrap/>
            <w:vAlign w:val="bottom"/>
            <w:hideMark/>
          </w:tcPr>
          <w:p w14:paraId="5B434057"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104</w:t>
            </w:r>
          </w:p>
        </w:tc>
      </w:tr>
      <w:tr w:rsidR="002757FA" w:rsidRPr="006C639F" w14:paraId="4317E5B6" w14:textId="77777777" w:rsidTr="00EB1C2D">
        <w:trPr>
          <w:trHeight w:val="315"/>
        </w:trPr>
        <w:tc>
          <w:tcPr>
            <w:tcW w:w="5245" w:type="dxa"/>
            <w:tcBorders>
              <w:top w:val="nil"/>
              <w:left w:val="nil"/>
              <w:bottom w:val="single" w:sz="4" w:space="0" w:color="auto"/>
              <w:right w:val="nil"/>
            </w:tcBorders>
            <w:shd w:val="clear" w:color="auto" w:fill="auto"/>
            <w:vAlign w:val="bottom"/>
            <w:hideMark/>
          </w:tcPr>
          <w:p w14:paraId="5BA602AB"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bCs/>
                <w:color w:val="000000"/>
                <w:szCs w:val="24"/>
                <w:lang w:eastAsia="fi-FI"/>
              </w:rPr>
              <w:t> </w:t>
            </w:r>
          </w:p>
        </w:tc>
        <w:tc>
          <w:tcPr>
            <w:tcW w:w="1276" w:type="dxa"/>
            <w:tcBorders>
              <w:top w:val="nil"/>
              <w:left w:val="nil"/>
              <w:bottom w:val="single" w:sz="4" w:space="0" w:color="auto"/>
              <w:right w:val="nil"/>
            </w:tcBorders>
            <w:shd w:val="clear" w:color="auto" w:fill="auto"/>
            <w:noWrap/>
            <w:vAlign w:val="bottom"/>
            <w:hideMark/>
          </w:tcPr>
          <w:p w14:paraId="0AC13C35"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bCs/>
                <w:color w:val="000000"/>
                <w:szCs w:val="24"/>
                <w:lang w:eastAsia="fi-FI"/>
              </w:rPr>
              <w:t>100 %</w:t>
            </w:r>
          </w:p>
        </w:tc>
        <w:tc>
          <w:tcPr>
            <w:tcW w:w="1417" w:type="dxa"/>
            <w:tcBorders>
              <w:top w:val="nil"/>
              <w:left w:val="nil"/>
              <w:bottom w:val="single" w:sz="4" w:space="0" w:color="auto"/>
              <w:right w:val="nil"/>
            </w:tcBorders>
            <w:shd w:val="clear" w:color="auto" w:fill="auto"/>
            <w:noWrap/>
            <w:vAlign w:val="bottom"/>
            <w:hideMark/>
          </w:tcPr>
          <w:p w14:paraId="322F67D0"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100 %</w:t>
            </w:r>
          </w:p>
        </w:tc>
        <w:tc>
          <w:tcPr>
            <w:tcW w:w="977" w:type="dxa"/>
            <w:tcBorders>
              <w:top w:val="nil"/>
              <w:left w:val="nil"/>
              <w:bottom w:val="single" w:sz="4" w:space="0" w:color="auto"/>
              <w:right w:val="nil"/>
            </w:tcBorders>
            <w:shd w:val="clear" w:color="auto" w:fill="auto"/>
            <w:noWrap/>
            <w:vAlign w:val="bottom"/>
            <w:hideMark/>
          </w:tcPr>
          <w:p w14:paraId="5FAE76FE" w14:textId="77777777" w:rsidR="002757FA" w:rsidRPr="006C639F" w:rsidRDefault="002757FA"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 </w:t>
            </w:r>
          </w:p>
        </w:tc>
      </w:tr>
    </w:tbl>
    <w:p w14:paraId="06D43F21" w14:textId="77777777" w:rsidR="002757FA" w:rsidRDefault="002757FA" w:rsidP="002757FA">
      <w:pPr>
        <w:rPr>
          <w:rFonts w:eastAsia="Times New Roman"/>
          <w:lang w:val="en-GB" w:eastAsia="en-GB"/>
        </w:rPr>
      </w:pPr>
    </w:p>
    <w:p w14:paraId="17867775" w14:textId="77777777" w:rsidR="002757FA" w:rsidRDefault="002757FA" w:rsidP="002757FA">
      <w:pPr>
        <w:ind w:firstLine="0"/>
        <w:rPr>
          <w:rFonts w:cs="Times New Roman"/>
          <w:szCs w:val="24"/>
        </w:rPr>
      </w:pPr>
      <w:r w:rsidRPr="007F68D7">
        <w:rPr>
          <w:rFonts w:cs="Times New Roman"/>
          <w:i/>
          <w:szCs w:val="24"/>
        </w:rPr>
        <w:t xml:space="preserve">Note </w:t>
      </w:r>
      <w:r w:rsidRPr="007F68D7">
        <w:rPr>
          <w:rFonts w:cs="Times New Roman"/>
          <w:szCs w:val="24"/>
        </w:rPr>
        <w:tab/>
        <w:t xml:space="preserve">* Students with special needs </w:t>
      </w:r>
      <w:r w:rsidR="003652F5">
        <w:rPr>
          <w:rFonts w:cs="Times New Roman"/>
          <w:szCs w:val="24"/>
        </w:rPr>
        <w:t xml:space="preserve">      </w:t>
      </w:r>
      <w:r w:rsidRPr="007F68D7">
        <w:rPr>
          <w:rFonts w:cs="Times New Roman"/>
          <w:szCs w:val="24"/>
        </w:rPr>
        <w:t>** General education students</w:t>
      </w:r>
    </w:p>
    <w:p w14:paraId="1CA18C43" w14:textId="77777777" w:rsidR="002536C9" w:rsidRDefault="002536C9" w:rsidP="002757FA">
      <w:pPr>
        <w:ind w:firstLine="0"/>
        <w:rPr>
          <w:rFonts w:cs="Times New Roman"/>
          <w:szCs w:val="24"/>
        </w:rPr>
      </w:pPr>
    </w:p>
    <w:p w14:paraId="7C8EA820" w14:textId="77777777" w:rsidR="002536C9" w:rsidRDefault="002536C9" w:rsidP="002757FA">
      <w:pPr>
        <w:ind w:firstLine="0"/>
        <w:rPr>
          <w:rFonts w:cs="Times New Roman"/>
          <w:szCs w:val="24"/>
        </w:rPr>
      </w:pPr>
    </w:p>
    <w:p w14:paraId="07D4BFE6" w14:textId="77777777" w:rsidR="004449F0" w:rsidRDefault="004449F0">
      <w:pPr>
        <w:spacing w:line="360" w:lineRule="auto"/>
      </w:pPr>
    </w:p>
    <w:tbl>
      <w:tblPr>
        <w:tblW w:w="8915" w:type="dxa"/>
        <w:tblCellMar>
          <w:left w:w="70" w:type="dxa"/>
          <w:right w:w="70" w:type="dxa"/>
        </w:tblCellMar>
        <w:tblLook w:val="04A0" w:firstRow="1" w:lastRow="0" w:firstColumn="1" w:lastColumn="0" w:noHBand="0" w:noVBand="1"/>
      </w:tblPr>
      <w:tblGrid>
        <w:gridCol w:w="5245"/>
        <w:gridCol w:w="1276"/>
        <w:gridCol w:w="1417"/>
        <w:gridCol w:w="977"/>
      </w:tblGrid>
      <w:tr w:rsidR="00CB25EE" w:rsidRPr="006C639F" w14:paraId="4B8A12B2" w14:textId="77777777" w:rsidTr="003652F5">
        <w:trPr>
          <w:trHeight w:val="594"/>
        </w:trPr>
        <w:tc>
          <w:tcPr>
            <w:tcW w:w="8915" w:type="dxa"/>
            <w:gridSpan w:val="4"/>
            <w:tcBorders>
              <w:top w:val="nil"/>
              <w:left w:val="nil"/>
              <w:bottom w:val="nil"/>
              <w:right w:val="nil"/>
            </w:tcBorders>
            <w:shd w:val="clear" w:color="auto" w:fill="auto"/>
            <w:noWrap/>
            <w:vAlign w:val="center"/>
            <w:hideMark/>
          </w:tcPr>
          <w:p w14:paraId="07D2A02B" w14:textId="77777777" w:rsidR="00CB25EE" w:rsidRDefault="00CB25EE" w:rsidP="00EB23AC">
            <w:pPr>
              <w:ind w:firstLine="0"/>
              <w:rPr>
                <w:rFonts w:eastAsia="Times New Roman" w:cs="Times New Roman"/>
                <w:bCs/>
                <w:color w:val="000000"/>
                <w:szCs w:val="24"/>
                <w:lang w:eastAsia="fi-FI"/>
              </w:rPr>
            </w:pPr>
            <w:r w:rsidRPr="006C639F">
              <w:rPr>
                <w:rFonts w:eastAsia="Times New Roman" w:cs="Times New Roman"/>
                <w:b/>
                <w:bCs/>
                <w:color w:val="000000"/>
                <w:szCs w:val="24"/>
                <w:lang w:eastAsia="fi-FI"/>
              </w:rPr>
              <w:t xml:space="preserve">Table </w:t>
            </w:r>
            <w:r>
              <w:rPr>
                <w:rFonts w:eastAsia="Times New Roman" w:cs="Times New Roman"/>
                <w:b/>
                <w:bCs/>
                <w:color w:val="000000"/>
                <w:szCs w:val="24"/>
                <w:lang w:eastAsia="fi-FI"/>
              </w:rPr>
              <w:t>4</w:t>
            </w:r>
            <w:r w:rsidRPr="006C639F">
              <w:rPr>
                <w:rFonts w:eastAsia="Times New Roman" w:cs="Times New Roman"/>
                <w:b/>
                <w:bCs/>
                <w:color w:val="000000"/>
                <w:szCs w:val="24"/>
                <w:lang w:eastAsia="fi-FI"/>
              </w:rPr>
              <w:t xml:space="preserve">. </w:t>
            </w:r>
            <w:r w:rsidRPr="006C639F">
              <w:rPr>
                <w:rFonts w:eastAsia="Times New Roman" w:cs="Times New Roman"/>
                <w:color w:val="000000"/>
                <w:szCs w:val="24"/>
                <w:lang w:eastAsia="fi-FI"/>
              </w:rPr>
              <w:t xml:space="preserve">The </w:t>
            </w:r>
            <w:r w:rsidR="00996CD0">
              <w:rPr>
                <w:rFonts w:eastAsia="Times New Roman" w:cs="Times New Roman"/>
                <w:color w:val="000000"/>
                <w:szCs w:val="24"/>
                <w:lang w:eastAsia="fi-FI"/>
              </w:rPr>
              <w:t xml:space="preserve">emphasis between </w:t>
            </w:r>
            <w:r w:rsidR="00EB23AC">
              <w:rPr>
                <w:rFonts w:eastAsia="Times New Roman" w:cs="Times New Roman"/>
                <w:color w:val="000000"/>
                <w:szCs w:val="24"/>
                <w:lang w:eastAsia="fi-FI"/>
              </w:rPr>
              <w:t>students</w:t>
            </w:r>
            <w:r w:rsidRPr="006C639F">
              <w:rPr>
                <w:rFonts w:eastAsia="Times New Roman" w:cs="Times New Roman"/>
                <w:color w:val="000000"/>
                <w:szCs w:val="24"/>
                <w:lang w:eastAsia="fi-FI"/>
              </w:rPr>
              <w:t xml:space="preserve">´ </w:t>
            </w:r>
            <w:r>
              <w:rPr>
                <w:rFonts w:eastAsia="Times New Roman" w:cs="Times New Roman"/>
                <w:color w:val="000000"/>
                <w:szCs w:val="24"/>
                <w:lang w:eastAsia="fi-FI"/>
              </w:rPr>
              <w:t xml:space="preserve">engaging positive </w:t>
            </w:r>
            <w:r w:rsidRPr="006C639F">
              <w:rPr>
                <w:rFonts w:eastAsia="Times New Roman" w:cs="Times New Roman"/>
                <w:color w:val="000000"/>
                <w:szCs w:val="24"/>
                <w:lang w:eastAsia="fi-FI"/>
              </w:rPr>
              <w:t>school experiences</w:t>
            </w:r>
            <w:r w:rsidR="00EB23AC">
              <w:rPr>
                <w:rFonts w:eastAsia="Times New Roman" w:cs="Times New Roman"/>
                <w:color w:val="000000"/>
                <w:szCs w:val="24"/>
                <w:lang w:eastAsia="fi-FI"/>
              </w:rPr>
              <w:t xml:space="preserve"> in peer interaction, student</w:t>
            </w:r>
            <w:r w:rsidR="00EB23AC" w:rsidRPr="006C639F">
              <w:rPr>
                <w:rFonts w:eastAsia="Times New Roman" w:cs="Times New Roman"/>
                <w:bCs/>
                <w:color w:val="000000"/>
                <w:szCs w:val="24"/>
                <w:lang w:eastAsia="fi-FI"/>
              </w:rPr>
              <w:t>– t</w:t>
            </w:r>
            <w:r w:rsidR="00EB23AC">
              <w:rPr>
                <w:rFonts w:eastAsia="Times New Roman" w:cs="Times New Roman"/>
                <w:bCs/>
                <w:color w:val="000000"/>
                <w:szCs w:val="24"/>
                <w:lang w:eastAsia="fi-FI"/>
              </w:rPr>
              <w:t>eacher interaction and studying</w:t>
            </w:r>
          </w:p>
          <w:p w14:paraId="36573B48" w14:textId="77777777" w:rsidR="003652F5" w:rsidRPr="006C639F" w:rsidRDefault="003652F5" w:rsidP="00EB23AC">
            <w:pPr>
              <w:ind w:firstLine="0"/>
              <w:rPr>
                <w:rFonts w:eastAsia="Times New Roman" w:cs="Times New Roman"/>
                <w:b/>
                <w:bCs/>
                <w:color w:val="000000"/>
                <w:szCs w:val="24"/>
                <w:lang w:eastAsia="fi-FI"/>
              </w:rPr>
            </w:pPr>
          </w:p>
        </w:tc>
      </w:tr>
      <w:tr w:rsidR="00CB25EE" w:rsidRPr="006C639F" w14:paraId="38DBC374" w14:textId="77777777" w:rsidTr="00134C8C">
        <w:trPr>
          <w:trHeight w:val="315"/>
        </w:trPr>
        <w:tc>
          <w:tcPr>
            <w:tcW w:w="5245" w:type="dxa"/>
            <w:tcBorders>
              <w:top w:val="single" w:sz="4" w:space="0" w:color="auto"/>
              <w:left w:val="nil"/>
              <w:bottom w:val="single" w:sz="4" w:space="0" w:color="auto"/>
              <w:right w:val="nil"/>
            </w:tcBorders>
            <w:shd w:val="clear" w:color="auto" w:fill="auto"/>
            <w:noWrap/>
            <w:vAlign w:val="bottom"/>
            <w:hideMark/>
          </w:tcPr>
          <w:p w14:paraId="0AFC12D4" w14:textId="77777777" w:rsidR="00CB25EE" w:rsidRPr="006C639F" w:rsidRDefault="00CB25EE" w:rsidP="00134C8C">
            <w:pPr>
              <w:ind w:firstLine="0"/>
              <w:rPr>
                <w:rFonts w:eastAsia="Times New Roman" w:cs="Times New Roman"/>
                <w:color w:val="000000"/>
                <w:szCs w:val="24"/>
                <w:lang w:eastAsia="fi-FI"/>
              </w:rPr>
            </w:pPr>
            <w:r w:rsidRPr="006C639F">
              <w:rPr>
                <w:rFonts w:eastAsia="Times New Roman" w:cs="Times New Roman"/>
                <w:color w:val="000000"/>
                <w:szCs w:val="24"/>
                <w:lang w:eastAsia="fi-FI"/>
              </w:rPr>
              <w:t> </w:t>
            </w:r>
          </w:p>
        </w:tc>
        <w:tc>
          <w:tcPr>
            <w:tcW w:w="1276" w:type="dxa"/>
            <w:tcBorders>
              <w:top w:val="single" w:sz="4" w:space="0" w:color="auto"/>
              <w:left w:val="nil"/>
              <w:bottom w:val="single" w:sz="4" w:space="0" w:color="auto"/>
              <w:right w:val="nil"/>
            </w:tcBorders>
            <w:shd w:val="clear" w:color="auto" w:fill="auto"/>
            <w:noWrap/>
            <w:vAlign w:val="bottom"/>
            <w:hideMark/>
          </w:tcPr>
          <w:p w14:paraId="036B1288"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Group A*</w:t>
            </w:r>
          </w:p>
        </w:tc>
        <w:tc>
          <w:tcPr>
            <w:tcW w:w="1417" w:type="dxa"/>
            <w:tcBorders>
              <w:top w:val="single" w:sz="4" w:space="0" w:color="auto"/>
              <w:left w:val="nil"/>
              <w:bottom w:val="single" w:sz="4" w:space="0" w:color="auto"/>
              <w:right w:val="nil"/>
            </w:tcBorders>
            <w:shd w:val="clear" w:color="auto" w:fill="auto"/>
            <w:noWrap/>
            <w:vAlign w:val="bottom"/>
            <w:hideMark/>
          </w:tcPr>
          <w:p w14:paraId="3DB291C5"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Group B**</w:t>
            </w:r>
          </w:p>
        </w:tc>
        <w:tc>
          <w:tcPr>
            <w:tcW w:w="977" w:type="dxa"/>
            <w:tcBorders>
              <w:top w:val="single" w:sz="4" w:space="0" w:color="auto"/>
              <w:left w:val="nil"/>
              <w:bottom w:val="single" w:sz="4" w:space="0" w:color="auto"/>
              <w:right w:val="nil"/>
            </w:tcBorders>
            <w:shd w:val="clear" w:color="auto" w:fill="auto"/>
            <w:noWrap/>
            <w:vAlign w:val="bottom"/>
            <w:hideMark/>
          </w:tcPr>
          <w:p w14:paraId="068F0C69"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Total</w:t>
            </w:r>
          </w:p>
        </w:tc>
      </w:tr>
      <w:tr w:rsidR="00CB25EE" w:rsidRPr="006C639F" w14:paraId="5BE7BE67" w14:textId="77777777" w:rsidTr="00134C8C">
        <w:trPr>
          <w:trHeight w:val="630"/>
        </w:trPr>
        <w:tc>
          <w:tcPr>
            <w:tcW w:w="5245" w:type="dxa"/>
            <w:tcBorders>
              <w:top w:val="nil"/>
              <w:left w:val="nil"/>
              <w:bottom w:val="nil"/>
              <w:right w:val="nil"/>
            </w:tcBorders>
            <w:shd w:val="clear" w:color="auto" w:fill="auto"/>
            <w:vAlign w:val="bottom"/>
            <w:hideMark/>
          </w:tcPr>
          <w:p w14:paraId="61E61287" w14:textId="77777777" w:rsidR="00CB25EE" w:rsidRPr="006C639F" w:rsidRDefault="00CB25EE" w:rsidP="00134C8C">
            <w:pPr>
              <w:ind w:firstLine="0"/>
              <w:rPr>
                <w:rFonts w:eastAsia="Times New Roman" w:cs="Times New Roman"/>
                <w:color w:val="000000"/>
                <w:szCs w:val="24"/>
                <w:lang w:eastAsia="fi-FI"/>
              </w:rPr>
            </w:pPr>
            <w:r w:rsidRPr="006C639F">
              <w:rPr>
                <w:rFonts w:eastAsia="Times New Roman" w:cs="Times New Roman"/>
                <w:color w:val="000000"/>
                <w:szCs w:val="24"/>
                <w:lang w:val="en-GB" w:eastAsia="fi-FI"/>
              </w:rPr>
              <w:t>Emotionally engaging peer interaction (n)</w:t>
            </w:r>
          </w:p>
        </w:tc>
        <w:tc>
          <w:tcPr>
            <w:tcW w:w="1276" w:type="dxa"/>
            <w:tcBorders>
              <w:top w:val="nil"/>
              <w:left w:val="nil"/>
              <w:bottom w:val="nil"/>
              <w:right w:val="nil"/>
            </w:tcBorders>
            <w:shd w:val="clear" w:color="auto" w:fill="auto"/>
            <w:noWrap/>
            <w:vAlign w:val="bottom"/>
            <w:hideMark/>
          </w:tcPr>
          <w:p w14:paraId="5261B9A1"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bCs/>
                <w:color w:val="000000"/>
                <w:szCs w:val="24"/>
                <w:lang w:eastAsia="fi-FI"/>
              </w:rPr>
              <w:t>17</w:t>
            </w:r>
          </w:p>
        </w:tc>
        <w:tc>
          <w:tcPr>
            <w:tcW w:w="1417" w:type="dxa"/>
            <w:tcBorders>
              <w:top w:val="nil"/>
              <w:left w:val="nil"/>
              <w:bottom w:val="nil"/>
              <w:right w:val="nil"/>
            </w:tcBorders>
            <w:shd w:val="clear" w:color="auto" w:fill="auto"/>
            <w:noWrap/>
            <w:vAlign w:val="bottom"/>
            <w:hideMark/>
          </w:tcPr>
          <w:p w14:paraId="0A1B479C"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51</w:t>
            </w:r>
          </w:p>
        </w:tc>
        <w:tc>
          <w:tcPr>
            <w:tcW w:w="977" w:type="dxa"/>
            <w:tcBorders>
              <w:top w:val="nil"/>
              <w:left w:val="nil"/>
              <w:bottom w:val="nil"/>
              <w:right w:val="nil"/>
            </w:tcBorders>
            <w:shd w:val="clear" w:color="auto" w:fill="auto"/>
            <w:noWrap/>
            <w:vAlign w:val="bottom"/>
            <w:hideMark/>
          </w:tcPr>
          <w:p w14:paraId="5396D149"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68</w:t>
            </w:r>
          </w:p>
        </w:tc>
      </w:tr>
      <w:tr w:rsidR="00CB25EE" w:rsidRPr="006C639F" w14:paraId="2F9CD662" w14:textId="77777777" w:rsidTr="00134C8C">
        <w:trPr>
          <w:trHeight w:val="315"/>
        </w:trPr>
        <w:tc>
          <w:tcPr>
            <w:tcW w:w="5245" w:type="dxa"/>
            <w:tcBorders>
              <w:top w:val="nil"/>
              <w:left w:val="nil"/>
              <w:bottom w:val="nil"/>
              <w:right w:val="nil"/>
            </w:tcBorders>
            <w:shd w:val="clear" w:color="auto" w:fill="auto"/>
            <w:vAlign w:val="bottom"/>
            <w:hideMark/>
          </w:tcPr>
          <w:p w14:paraId="648049EF" w14:textId="77777777" w:rsidR="00CB25EE" w:rsidRPr="006C639F" w:rsidRDefault="00CB25EE"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28A151D5"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25 %</w:t>
            </w:r>
          </w:p>
        </w:tc>
        <w:tc>
          <w:tcPr>
            <w:tcW w:w="1417" w:type="dxa"/>
            <w:tcBorders>
              <w:top w:val="nil"/>
              <w:left w:val="nil"/>
              <w:bottom w:val="nil"/>
              <w:right w:val="nil"/>
            </w:tcBorders>
            <w:shd w:val="clear" w:color="auto" w:fill="auto"/>
            <w:noWrap/>
            <w:vAlign w:val="bottom"/>
            <w:hideMark/>
          </w:tcPr>
          <w:p w14:paraId="4FCD2375"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75 %</w:t>
            </w:r>
          </w:p>
        </w:tc>
        <w:tc>
          <w:tcPr>
            <w:tcW w:w="977" w:type="dxa"/>
            <w:tcBorders>
              <w:top w:val="nil"/>
              <w:left w:val="nil"/>
              <w:bottom w:val="nil"/>
              <w:right w:val="nil"/>
            </w:tcBorders>
            <w:shd w:val="clear" w:color="auto" w:fill="auto"/>
            <w:noWrap/>
            <w:vAlign w:val="bottom"/>
            <w:hideMark/>
          </w:tcPr>
          <w:p w14:paraId="0BD6197F"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100 %</w:t>
            </w:r>
          </w:p>
        </w:tc>
      </w:tr>
      <w:tr w:rsidR="00CB25EE" w:rsidRPr="006C639F" w14:paraId="09348227" w14:textId="77777777" w:rsidTr="00134C8C">
        <w:trPr>
          <w:trHeight w:val="315"/>
        </w:trPr>
        <w:tc>
          <w:tcPr>
            <w:tcW w:w="5245" w:type="dxa"/>
            <w:tcBorders>
              <w:top w:val="nil"/>
              <w:left w:val="nil"/>
              <w:bottom w:val="nil"/>
              <w:right w:val="nil"/>
            </w:tcBorders>
            <w:shd w:val="clear" w:color="auto" w:fill="auto"/>
            <w:vAlign w:val="bottom"/>
            <w:hideMark/>
          </w:tcPr>
          <w:p w14:paraId="2ED93EC0" w14:textId="77777777" w:rsidR="00CB25EE" w:rsidRPr="006C639F" w:rsidRDefault="00CB25EE"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5F491AB9" w14:textId="77777777" w:rsidR="00CB25EE" w:rsidRPr="006C639F" w:rsidRDefault="00CB25EE" w:rsidP="00134C8C">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bottom"/>
            <w:hideMark/>
          </w:tcPr>
          <w:p w14:paraId="12931648" w14:textId="77777777" w:rsidR="00CB25EE" w:rsidRPr="006C639F" w:rsidRDefault="00CB25EE" w:rsidP="00134C8C">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2FCA914A" w14:textId="77777777" w:rsidR="00CB25EE" w:rsidRPr="006C639F" w:rsidRDefault="00CB25EE" w:rsidP="00134C8C">
            <w:pPr>
              <w:ind w:firstLine="0"/>
              <w:rPr>
                <w:rFonts w:eastAsia="Times New Roman" w:cs="Times New Roman"/>
                <w:color w:val="000000"/>
                <w:szCs w:val="24"/>
                <w:lang w:val="fi-FI" w:eastAsia="fi-FI"/>
              </w:rPr>
            </w:pPr>
          </w:p>
        </w:tc>
      </w:tr>
      <w:tr w:rsidR="00CB25EE" w:rsidRPr="006C639F" w14:paraId="20A3A7B5" w14:textId="77777777" w:rsidTr="00134C8C">
        <w:trPr>
          <w:trHeight w:val="945"/>
        </w:trPr>
        <w:tc>
          <w:tcPr>
            <w:tcW w:w="5245" w:type="dxa"/>
            <w:tcBorders>
              <w:top w:val="nil"/>
              <w:left w:val="nil"/>
              <w:bottom w:val="nil"/>
              <w:right w:val="nil"/>
            </w:tcBorders>
            <w:shd w:val="clear" w:color="auto" w:fill="auto"/>
            <w:vAlign w:val="bottom"/>
            <w:hideMark/>
          </w:tcPr>
          <w:p w14:paraId="3E71C379" w14:textId="77777777" w:rsidR="00CB25EE" w:rsidRPr="006C639F" w:rsidRDefault="00CB25EE" w:rsidP="00134C8C">
            <w:pPr>
              <w:ind w:firstLine="0"/>
              <w:rPr>
                <w:rFonts w:eastAsia="Times New Roman" w:cs="Times New Roman"/>
                <w:color w:val="000000"/>
                <w:szCs w:val="24"/>
                <w:lang w:eastAsia="fi-FI"/>
              </w:rPr>
            </w:pPr>
            <w:r w:rsidRPr="006C639F">
              <w:rPr>
                <w:rFonts w:eastAsia="Times New Roman" w:cs="Times New Roman"/>
                <w:bCs/>
                <w:color w:val="000000"/>
                <w:szCs w:val="24"/>
                <w:lang w:eastAsia="fi-FI"/>
              </w:rPr>
              <w:t>Emotionally engaging student– teacher interaction (n)</w:t>
            </w:r>
          </w:p>
        </w:tc>
        <w:tc>
          <w:tcPr>
            <w:tcW w:w="1276" w:type="dxa"/>
            <w:tcBorders>
              <w:top w:val="nil"/>
              <w:left w:val="nil"/>
              <w:bottom w:val="nil"/>
              <w:right w:val="nil"/>
            </w:tcBorders>
            <w:shd w:val="clear" w:color="auto" w:fill="auto"/>
            <w:noWrap/>
            <w:vAlign w:val="bottom"/>
            <w:hideMark/>
          </w:tcPr>
          <w:p w14:paraId="2D64C05D"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w:t>
            </w:r>
          </w:p>
        </w:tc>
        <w:tc>
          <w:tcPr>
            <w:tcW w:w="1417" w:type="dxa"/>
            <w:tcBorders>
              <w:top w:val="nil"/>
              <w:left w:val="nil"/>
              <w:bottom w:val="nil"/>
              <w:right w:val="nil"/>
            </w:tcBorders>
            <w:shd w:val="clear" w:color="auto" w:fill="auto"/>
            <w:noWrap/>
            <w:vAlign w:val="bottom"/>
            <w:hideMark/>
          </w:tcPr>
          <w:p w14:paraId="0D348D99"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14</w:t>
            </w:r>
          </w:p>
        </w:tc>
        <w:tc>
          <w:tcPr>
            <w:tcW w:w="977" w:type="dxa"/>
            <w:tcBorders>
              <w:top w:val="nil"/>
              <w:left w:val="nil"/>
              <w:bottom w:val="nil"/>
              <w:right w:val="nil"/>
            </w:tcBorders>
            <w:shd w:val="clear" w:color="auto" w:fill="auto"/>
            <w:noWrap/>
            <w:vAlign w:val="bottom"/>
            <w:hideMark/>
          </w:tcPr>
          <w:p w14:paraId="3428E9F2"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16</w:t>
            </w:r>
          </w:p>
        </w:tc>
      </w:tr>
      <w:tr w:rsidR="00CB25EE" w:rsidRPr="006C639F" w14:paraId="1FF98454" w14:textId="77777777" w:rsidTr="00134C8C">
        <w:trPr>
          <w:trHeight w:val="315"/>
        </w:trPr>
        <w:tc>
          <w:tcPr>
            <w:tcW w:w="5245" w:type="dxa"/>
            <w:tcBorders>
              <w:top w:val="nil"/>
              <w:left w:val="nil"/>
              <w:bottom w:val="nil"/>
              <w:right w:val="nil"/>
            </w:tcBorders>
            <w:shd w:val="clear" w:color="auto" w:fill="auto"/>
            <w:vAlign w:val="bottom"/>
            <w:hideMark/>
          </w:tcPr>
          <w:p w14:paraId="41658679" w14:textId="77777777" w:rsidR="00CB25EE" w:rsidRPr="006C639F" w:rsidRDefault="00CB25EE"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6EE4A0E1"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13 %</w:t>
            </w:r>
          </w:p>
        </w:tc>
        <w:tc>
          <w:tcPr>
            <w:tcW w:w="1417" w:type="dxa"/>
            <w:tcBorders>
              <w:top w:val="nil"/>
              <w:left w:val="nil"/>
              <w:bottom w:val="nil"/>
              <w:right w:val="nil"/>
            </w:tcBorders>
            <w:shd w:val="clear" w:color="auto" w:fill="auto"/>
            <w:noWrap/>
            <w:vAlign w:val="bottom"/>
            <w:hideMark/>
          </w:tcPr>
          <w:p w14:paraId="53FCB82C"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87 %</w:t>
            </w:r>
          </w:p>
        </w:tc>
        <w:tc>
          <w:tcPr>
            <w:tcW w:w="977" w:type="dxa"/>
            <w:tcBorders>
              <w:top w:val="nil"/>
              <w:left w:val="nil"/>
              <w:bottom w:val="nil"/>
              <w:right w:val="nil"/>
            </w:tcBorders>
            <w:shd w:val="clear" w:color="auto" w:fill="auto"/>
            <w:noWrap/>
            <w:vAlign w:val="bottom"/>
            <w:hideMark/>
          </w:tcPr>
          <w:p w14:paraId="21324122"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100 %</w:t>
            </w:r>
          </w:p>
        </w:tc>
      </w:tr>
      <w:tr w:rsidR="00CB25EE" w:rsidRPr="006C639F" w14:paraId="7EEF9BEE" w14:textId="77777777" w:rsidTr="00134C8C">
        <w:trPr>
          <w:trHeight w:val="315"/>
        </w:trPr>
        <w:tc>
          <w:tcPr>
            <w:tcW w:w="5245" w:type="dxa"/>
            <w:tcBorders>
              <w:top w:val="nil"/>
              <w:left w:val="nil"/>
              <w:bottom w:val="nil"/>
              <w:right w:val="nil"/>
            </w:tcBorders>
            <w:shd w:val="clear" w:color="auto" w:fill="auto"/>
            <w:vAlign w:val="bottom"/>
            <w:hideMark/>
          </w:tcPr>
          <w:p w14:paraId="42564F3A" w14:textId="77777777" w:rsidR="00CB25EE" w:rsidRPr="006C639F" w:rsidRDefault="00CB25EE"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042A2D34" w14:textId="77777777" w:rsidR="00CB25EE" w:rsidRPr="006C639F" w:rsidRDefault="00CB25EE" w:rsidP="00134C8C">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bottom"/>
            <w:hideMark/>
          </w:tcPr>
          <w:p w14:paraId="6114E228" w14:textId="77777777" w:rsidR="00CB25EE" w:rsidRPr="006C639F" w:rsidRDefault="00CB25EE" w:rsidP="00134C8C">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7934F032" w14:textId="77777777" w:rsidR="00CB25EE" w:rsidRPr="006C639F" w:rsidRDefault="00CB25EE" w:rsidP="00134C8C">
            <w:pPr>
              <w:ind w:firstLine="0"/>
              <w:rPr>
                <w:rFonts w:eastAsia="Times New Roman" w:cs="Times New Roman"/>
                <w:color w:val="000000"/>
                <w:szCs w:val="24"/>
                <w:lang w:val="fi-FI" w:eastAsia="fi-FI"/>
              </w:rPr>
            </w:pPr>
          </w:p>
        </w:tc>
      </w:tr>
      <w:tr w:rsidR="00CB25EE" w:rsidRPr="006C639F" w14:paraId="3EDA46B1" w14:textId="77777777" w:rsidTr="00134C8C">
        <w:trPr>
          <w:trHeight w:val="630"/>
        </w:trPr>
        <w:tc>
          <w:tcPr>
            <w:tcW w:w="5245" w:type="dxa"/>
            <w:tcBorders>
              <w:top w:val="nil"/>
              <w:left w:val="nil"/>
              <w:bottom w:val="nil"/>
              <w:right w:val="nil"/>
            </w:tcBorders>
            <w:shd w:val="clear" w:color="auto" w:fill="auto"/>
            <w:vAlign w:val="bottom"/>
            <w:hideMark/>
          </w:tcPr>
          <w:p w14:paraId="493DFDB6"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bCs/>
                <w:color w:val="000000"/>
                <w:szCs w:val="24"/>
                <w:lang w:eastAsia="fi-FI"/>
              </w:rPr>
              <w:t>Cognitively engaging studying (n)</w:t>
            </w:r>
          </w:p>
        </w:tc>
        <w:tc>
          <w:tcPr>
            <w:tcW w:w="1276" w:type="dxa"/>
            <w:tcBorders>
              <w:top w:val="nil"/>
              <w:left w:val="nil"/>
              <w:bottom w:val="nil"/>
              <w:right w:val="nil"/>
            </w:tcBorders>
            <w:shd w:val="clear" w:color="auto" w:fill="auto"/>
            <w:noWrap/>
            <w:vAlign w:val="bottom"/>
            <w:hideMark/>
          </w:tcPr>
          <w:p w14:paraId="6A3AF985"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bCs/>
                <w:color w:val="000000"/>
                <w:szCs w:val="24"/>
                <w:lang w:eastAsia="fi-FI"/>
              </w:rPr>
              <w:t>2</w:t>
            </w:r>
          </w:p>
        </w:tc>
        <w:tc>
          <w:tcPr>
            <w:tcW w:w="1417" w:type="dxa"/>
            <w:tcBorders>
              <w:top w:val="nil"/>
              <w:left w:val="nil"/>
              <w:bottom w:val="nil"/>
              <w:right w:val="nil"/>
            </w:tcBorders>
            <w:shd w:val="clear" w:color="auto" w:fill="auto"/>
            <w:noWrap/>
            <w:vAlign w:val="bottom"/>
            <w:hideMark/>
          </w:tcPr>
          <w:p w14:paraId="73834B50"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18</w:t>
            </w:r>
          </w:p>
        </w:tc>
        <w:tc>
          <w:tcPr>
            <w:tcW w:w="977" w:type="dxa"/>
            <w:tcBorders>
              <w:top w:val="nil"/>
              <w:left w:val="nil"/>
              <w:bottom w:val="nil"/>
              <w:right w:val="nil"/>
            </w:tcBorders>
            <w:shd w:val="clear" w:color="auto" w:fill="auto"/>
            <w:noWrap/>
            <w:vAlign w:val="bottom"/>
            <w:hideMark/>
          </w:tcPr>
          <w:p w14:paraId="0EED40C4"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20</w:t>
            </w:r>
          </w:p>
        </w:tc>
      </w:tr>
      <w:tr w:rsidR="00CB25EE" w:rsidRPr="006C639F" w14:paraId="028C7710" w14:textId="77777777" w:rsidTr="00134C8C">
        <w:trPr>
          <w:trHeight w:val="315"/>
        </w:trPr>
        <w:tc>
          <w:tcPr>
            <w:tcW w:w="5245" w:type="dxa"/>
            <w:tcBorders>
              <w:top w:val="nil"/>
              <w:left w:val="nil"/>
              <w:bottom w:val="nil"/>
              <w:right w:val="nil"/>
            </w:tcBorders>
            <w:shd w:val="clear" w:color="auto" w:fill="auto"/>
            <w:vAlign w:val="bottom"/>
            <w:hideMark/>
          </w:tcPr>
          <w:p w14:paraId="56D6C393" w14:textId="77777777" w:rsidR="00CB25EE" w:rsidRPr="006C639F" w:rsidRDefault="00CB25EE"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0819BEFD"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10 %</w:t>
            </w:r>
          </w:p>
        </w:tc>
        <w:tc>
          <w:tcPr>
            <w:tcW w:w="1417" w:type="dxa"/>
            <w:tcBorders>
              <w:top w:val="nil"/>
              <w:left w:val="nil"/>
              <w:bottom w:val="nil"/>
              <w:right w:val="nil"/>
            </w:tcBorders>
            <w:shd w:val="clear" w:color="auto" w:fill="auto"/>
            <w:noWrap/>
            <w:vAlign w:val="bottom"/>
            <w:hideMark/>
          </w:tcPr>
          <w:p w14:paraId="5EC0A88E"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90 %</w:t>
            </w:r>
          </w:p>
        </w:tc>
        <w:tc>
          <w:tcPr>
            <w:tcW w:w="977" w:type="dxa"/>
            <w:tcBorders>
              <w:top w:val="nil"/>
              <w:left w:val="nil"/>
              <w:bottom w:val="nil"/>
              <w:right w:val="nil"/>
            </w:tcBorders>
            <w:shd w:val="clear" w:color="auto" w:fill="auto"/>
            <w:noWrap/>
            <w:vAlign w:val="bottom"/>
            <w:hideMark/>
          </w:tcPr>
          <w:p w14:paraId="200F35B7"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100 %</w:t>
            </w:r>
          </w:p>
        </w:tc>
      </w:tr>
      <w:tr w:rsidR="00CB25EE" w:rsidRPr="006C639F" w14:paraId="1853B9A8" w14:textId="77777777" w:rsidTr="00134C8C">
        <w:trPr>
          <w:trHeight w:val="315"/>
        </w:trPr>
        <w:tc>
          <w:tcPr>
            <w:tcW w:w="5245" w:type="dxa"/>
            <w:tcBorders>
              <w:top w:val="nil"/>
              <w:left w:val="nil"/>
              <w:bottom w:val="nil"/>
              <w:right w:val="nil"/>
            </w:tcBorders>
            <w:shd w:val="clear" w:color="auto" w:fill="auto"/>
            <w:vAlign w:val="bottom"/>
            <w:hideMark/>
          </w:tcPr>
          <w:p w14:paraId="61C06286" w14:textId="77777777" w:rsidR="00CB25EE" w:rsidRPr="006C639F" w:rsidRDefault="00CB25EE"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bottom"/>
            <w:hideMark/>
          </w:tcPr>
          <w:p w14:paraId="2C9093FD" w14:textId="77777777" w:rsidR="00CB25EE" w:rsidRPr="006C639F" w:rsidRDefault="00CB25EE" w:rsidP="00134C8C">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bottom"/>
            <w:hideMark/>
          </w:tcPr>
          <w:p w14:paraId="418A0B34" w14:textId="77777777" w:rsidR="00CB25EE" w:rsidRPr="006C639F" w:rsidRDefault="00CB25EE" w:rsidP="00134C8C">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67DCAFDE" w14:textId="77777777" w:rsidR="00CB25EE" w:rsidRPr="006C639F" w:rsidRDefault="00CB25EE" w:rsidP="00134C8C">
            <w:pPr>
              <w:ind w:firstLine="0"/>
              <w:rPr>
                <w:rFonts w:eastAsia="Times New Roman" w:cs="Times New Roman"/>
                <w:color w:val="000000"/>
                <w:szCs w:val="24"/>
                <w:lang w:val="fi-FI" w:eastAsia="fi-FI"/>
              </w:rPr>
            </w:pPr>
          </w:p>
        </w:tc>
      </w:tr>
      <w:tr w:rsidR="00CB25EE" w:rsidRPr="006C639F" w14:paraId="0CAF8E88" w14:textId="77777777" w:rsidTr="00134C8C">
        <w:trPr>
          <w:trHeight w:val="315"/>
        </w:trPr>
        <w:tc>
          <w:tcPr>
            <w:tcW w:w="5245" w:type="dxa"/>
            <w:tcBorders>
              <w:top w:val="nil"/>
              <w:left w:val="nil"/>
              <w:bottom w:val="nil"/>
              <w:right w:val="nil"/>
            </w:tcBorders>
            <w:shd w:val="clear" w:color="auto" w:fill="auto"/>
            <w:vAlign w:val="bottom"/>
            <w:hideMark/>
          </w:tcPr>
          <w:p w14:paraId="5F062BFC"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bCs/>
                <w:color w:val="000000"/>
                <w:szCs w:val="24"/>
                <w:lang w:eastAsia="fi-FI"/>
              </w:rPr>
              <w:t>Total</w:t>
            </w:r>
          </w:p>
        </w:tc>
        <w:tc>
          <w:tcPr>
            <w:tcW w:w="1276" w:type="dxa"/>
            <w:tcBorders>
              <w:top w:val="nil"/>
              <w:left w:val="nil"/>
              <w:bottom w:val="nil"/>
              <w:right w:val="nil"/>
            </w:tcBorders>
            <w:shd w:val="clear" w:color="auto" w:fill="auto"/>
            <w:noWrap/>
            <w:vAlign w:val="bottom"/>
            <w:hideMark/>
          </w:tcPr>
          <w:p w14:paraId="0AD2471B"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21</w:t>
            </w:r>
          </w:p>
        </w:tc>
        <w:tc>
          <w:tcPr>
            <w:tcW w:w="1417" w:type="dxa"/>
            <w:tcBorders>
              <w:top w:val="nil"/>
              <w:left w:val="nil"/>
              <w:bottom w:val="nil"/>
              <w:right w:val="nil"/>
            </w:tcBorders>
            <w:shd w:val="clear" w:color="auto" w:fill="auto"/>
            <w:noWrap/>
            <w:vAlign w:val="bottom"/>
            <w:hideMark/>
          </w:tcPr>
          <w:p w14:paraId="3FFE8125"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83</w:t>
            </w:r>
          </w:p>
        </w:tc>
        <w:tc>
          <w:tcPr>
            <w:tcW w:w="977" w:type="dxa"/>
            <w:tcBorders>
              <w:top w:val="nil"/>
              <w:left w:val="nil"/>
              <w:bottom w:val="nil"/>
              <w:right w:val="nil"/>
            </w:tcBorders>
            <w:shd w:val="clear" w:color="auto" w:fill="auto"/>
            <w:noWrap/>
            <w:vAlign w:val="bottom"/>
            <w:hideMark/>
          </w:tcPr>
          <w:p w14:paraId="21AD33F9"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104</w:t>
            </w:r>
          </w:p>
        </w:tc>
      </w:tr>
      <w:tr w:rsidR="00CB25EE" w:rsidRPr="006C639F" w14:paraId="3685A3C7" w14:textId="77777777" w:rsidTr="00134C8C">
        <w:trPr>
          <w:trHeight w:val="315"/>
        </w:trPr>
        <w:tc>
          <w:tcPr>
            <w:tcW w:w="5245" w:type="dxa"/>
            <w:tcBorders>
              <w:top w:val="nil"/>
              <w:left w:val="nil"/>
              <w:bottom w:val="single" w:sz="4" w:space="0" w:color="auto"/>
              <w:right w:val="nil"/>
            </w:tcBorders>
            <w:shd w:val="clear" w:color="auto" w:fill="auto"/>
            <w:vAlign w:val="bottom"/>
            <w:hideMark/>
          </w:tcPr>
          <w:p w14:paraId="45FBBE4A"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bCs/>
                <w:color w:val="000000"/>
                <w:szCs w:val="24"/>
                <w:lang w:eastAsia="fi-FI"/>
              </w:rPr>
              <w:t> </w:t>
            </w:r>
          </w:p>
        </w:tc>
        <w:tc>
          <w:tcPr>
            <w:tcW w:w="1276" w:type="dxa"/>
            <w:tcBorders>
              <w:top w:val="nil"/>
              <w:left w:val="nil"/>
              <w:bottom w:val="single" w:sz="4" w:space="0" w:color="auto"/>
              <w:right w:val="nil"/>
            </w:tcBorders>
            <w:shd w:val="clear" w:color="auto" w:fill="auto"/>
            <w:noWrap/>
            <w:vAlign w:val="bottom"/>
            <w:hideMark/>
          </w:tcPr>
          <w:p w14:paraId="65BFF047" w14:textId="77777777" w:rsidR="00CB25EE" w:rsidRPr="006C639F" w:rsidRDefault="00CB25EE" w:rsidP="00134C8C">
            <w:pPr>
              <w:ind w:firstLine="0"/>
              <w:rPr>
                <w:rFonts w:eastAsia="Times New Roman" w:cs="Times New Roman"/>
                <w:color w:val="000000"/>
                <w:szCs w:val="24"/>
                <w:lang w:val="fi-FI" w:eastAsia="fi-FI"/>
              </w:rPr>
            </w:pPr>
          </w:p>
        </w:tc>
        <w:tc>
          <w:tcPr>
            <w:tcW w:w="1417" w:type="dxa"/>
            <w:tcBorders>
              <w:top w:val="nil"/>
              <w:left w:val="nil"/>
              <w:bottom w:val="single" w:sz="4" w:space="0" w:color="auto"/>
              <w:right w:val="nil"/>
            </w:tcBorders>
            <w:shd w:val="clear" w:color="auto" w:fill="auto"/>
            <w:noWrap/>
            <w:vAlign w:val="bottom"/>
            <w:hideMark/>
          </w:tcPr>
          <w:p w14:paraId="0F71B401" w14:textId="77777777" w:rsidR="00CB25EE" w:rsidRPr="006C639F" w:rsidRDefault="00CB25EE" w:rsidP="00134C8C">
            <w:pPr>
              <w:ind w:firstLine="0"/>
              <w:rPr>
                <w:rFonts w:eastAsia="Times New Roman" w:cs="Times New Roman"/>
                <w:color w:val="000000"/>
                <w:szCs w:val="24"/>
                <w:lang w:val="fi-FI" w:eastAsia="fi-FI"/>
              </w:rPr>
            </w:pPr>
          </w:p>
        </w:tc>
        <w:tc>
          <w:tcPr>
            <w:tcW w:w="977" w:type="dxa"/>
            <w:tcBorders>
              <w:top w:val="nil"/>
              <w:left w:val="nil"/>
              <w:bottom w:val="single" w:sz="4" w:space="0" w:color="auto"/>
              <w:right w:val="nil"/>
            </w:tcBorders>
            <w:shd w:val="clear" w:color="auto" w:fill="auto"/>
            <w:noWrap/>
            <w:vAlign w:val="bottom"/>
            <w:hideMark/>
          </w:tcPr>
          <w:p w14:paraId="18134689" w14:textId="77777777" w:rsidR="00CB25EE" w:rsidRPr="006C639F" w:rsidRDefault="00CB25EE"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 </w:t>
            </w:r>
          </w:p>
        </w:tc>
      </w:tr>
    </w:tbl>
    <w:p w14:paraId="3FE8D100" w14:textId="77777777" w:rsidR="00EB23AC" w:rsidRDefault="00EB23AC" w:rsidP="009379A7">
      <w:pPr>
        <w:spacing w:before="240"/>
        <w:ind w:firstLine="0"/>
        <w:rPr>
          <w:rFonts w:cs="Times New Roman"/>
          <w:szCs w:val="24"/>
        </w:rPr>
      </w:pPr>
      <w:r w:rsidRPr="007F68D7">
        <w:rPr>
          <w:rFonts w:cs="Times New Roman"/>
          <w:i/>
          <w:szCs w:val="24"/>
        </w:rPr>
        <w:t xml:space="preserve">Note </w:t>
      </w:r>
      <w:r w:rsidRPr="007F68D7">
        <w:rPr>
          <w:rFonts w:cs="Times New Roman"/>
          <w:szCs w:val="24"/>
        </w:rPr>
        <w:tab/>
        <w:t>* Students with special needs ** General education students</w:t>
      </w:r>
    </w:p>
    <w:p w14:paraId="61A6C052" w14:textId="77777777" w:rsidR="00253D04" w:rsidRDefault="00253D04" w:rsidP="00253D04">
      <w:pPr>
        <w:rPr>
          <w:rFonts w:cs="Times New Roman"/>
        </w:rPr>
      </w:pPr>
    </w:p>
    <w:tbl>
      <w:tblPr>
        <w:tblW w:w="8915" w:type="dxa"/>
        <w:tblCellMar>
          <w:left w:w="70" w:type="dxa"/>
          <w:right w:w="70" w:type="dxa"/>
        </w:tblCellMar>
        <w:tblLook w:val="04A0" w:firstRow="1" w:lastRow="0" w:firstColumn="1" w:lastColumn="0" w:noHBand="0" w:noVBand="1"/>
      </w:tblPr>
      <w:tblGrid>
        <w:gridCol w:w="5245"/>
        <w:gridCol w:w="1276"/>
        <w:gridCol w:w="1417"/>
        <w:gridCol w:w="977"/>
      </w:tblGrid>
      <w:tr w:rsidR="00253D04" w:rsidRPr="006C639F" w14:paraId="620CD428" w14:textId="77777777" w:rsidTr="00EB1C2D">
        <w:trPr>
          <w:trHeight w:val="330"/>
        </w:trPr>
        <w:tc>
          <w:tcPr>
            <w:tcW w:w="8915" w:type="dxa"/>
            <w:gridSpan w:val="4"/>
            <w:tcBorders>
              <w:top w:val="nil"/>
              <w:left w:val="nil"/>
              <w:bottom w:val="single" w:sz="8" w:space="0" w:color="auto"/>
              <w:right w:val="nil"/>
            </w:tcBorders>
            <w:shd w:val="clear" w:color="auto" w:fill="auto"/>
            <w:noWrap/>
            <w:vAlign w:val="center"/>
            <w:hideMark/>
          </w:tcPr>
          <w:p w14:paraId="552CE307" w14:textId="77777777" w:rsidR="00253D04" w:rsidRDefault="00253D04" w:rsidP="00C13861">
            <w:pPr>
              <w:ind w:firstLine="0"/>
              <w:rPr>
                <w:rFonts w:eastAsia="Times New Roman" w:cs="Times New Roman"/>
                <w:color w:val="000000"/>
                <w:szCs w:val="24"/>
                <w:lang w:eastAsia="fi-FI"/>
              </w:rPr>
            </w:pPr>
            <w:r w:rsidRPr="006C639F">
              <w:rPr>
                <w:rFonts w:eastAsia="Times New Roman" w:cs="Times New Roman"/>
                <w:b/>
                <w:bCs/>
                <w:color w:val="000000"/>
                <w:szCs w:val="24"/>
                <w:lang w:eastAsia="fi-FI"/>
              </w:rPr>
              <w:t xml:space="preserve">Table </w:t>
            </w:r>
            <w:r w:rsidR="00C13861">
              <w:rPr>
                <w:rFonts w:eastAsia="Times New Roman" w:cs="Times New Roman"/>
                <w:b/>
                <w:bCs/>
                <w:color w:val="000000"/>
                <w:szCs w:val="24"/>
                <w:lang w:eastAsia="fi-FI"/>
              </w:rPr>
              <w:t>5</w:t>
            </w:r>
            <w:r w:rsidRPr="006C639F">
              <w:rPr>
                <w:rFonts w:eastAsia="Times New Roman" w:cs="Times New Roman"/>
                <w:b/>
                <w:bCs/>
                <w:color w:val="000000"/>
                <w:szCs w:val="24"/>
                <w:lang w:eastAsia="fi-FI"/>
              </w:rPr>
              <w:t xml:space="preserve">. </w:t>
            </w:r>
            <w:r w:rsidRPr="006C639F">
              <w:rPr>
                <w:rFonts w:eastAsia="Times New Roman" w:cs="Times New Roman"/>
                <w:color w:val="000000"/>
                <w:szCs w:val="24"/>
                <w:lang w:eastAsia="fi-FI"/>
              </w:rPr>
              <w:t xml:space="preserve">The primary contexts of the groups´ </w:t>
            </w:r>
            <w:r>
              <w:rPr>
                <w:rFonts w:eastAsia="Times New Roman" w:cs="Times New Roman"/>
                <w:color w:val="000000"/>
                <w:szCs w:val="24"/>
                <w:lang w:eastAsia="fi-FI"/>
              </w:rPr>
              <w:t xml:space="preserve">disengaging </w:t>
            </w:r>
            <w:r w:rsidRPr="006C639F">
              <w:rPr>
                <w:rFonts w:eastAsia="Times New Roman" w:cs="Times New Roman"/>
                <w:color w:val="000000"/>
                <w:szCs w:val="24"/>
                <w:lang w:eastAsia="fi-FI"/>
              </w:rPr>
              <w:t>negative school experiences</w:t>
            </w:r>
          </w:p>
          <w:p w14:paraId="360E6A32" w14:textId="77777777" w:rsidR="003652F5" w:rsidRPr="006C639F" w:rsidRDefault="003652F5" w:rsidP="00C13861">
            <w:pPr>
              <w:ind w:firstLine="0"/>
              <w:rPr>
                <w:rFonts w:eastAsia="Times New Roman" w:cs="Times New Roman"/>
                <w:b/>
                <w:bCs/>
                <w:color w:val="000000"/>
                <w:szCs w:val="24"/>
                <w:lang w:eastAsia="fi-FI"/>
              </w:rPr>
            </w:pPr>
          </w:p>
        </w:tc>
      </w:tr>
      <w:tr w:rsidR="00253D04" w:rsidRPr="006C639F" w14:paraId="71E0213A" w14:textId="77777777" w:rsidTr="00EB1C2D">
        <w:trPr>
          <w:trHeight w:val="330"/>
        </w:trPr>
        <w:tc>
          <w:tcPr>
            <w:tcW w:w="5245" w:type="dxa"/>
            <w:tcBorders>
              <w:top w:val="nil"/>
              <w:left w:val="nil"/>
              <w:bottom w:val="single" w:sz="8" w:space="0" w:color="auto"/>
              <w:right w:val="nil"/>
            </w:tcBorders>
            <w:shd w:val="clear" w:color="auto" w:fill="auto"/>
            <w:noWrap/>
            <w:vAlign w:val="center"/>
            <w:hideMark/>
          </w:tcPr>
          <w:p w14:paraId="2133F420" w14:textId="77777777" w:rsidR="00253D04" w:rsidRPr="006C639F" w:rsidRDefault="00253D04" w:rsidP="00EB1C2D">
            <w:pPr>
              <w:ind w:firstLine="0"/>
              <w:rPr>
                <w:rFonts w:eastAsia="Times New Roman" w:cs="Times New Roman"/>
                <w:color w:val="000000"/>
                <w:szCs w:val="24"/>
                <w:lang w:eastAsia="fi-FI"/>
              </w:rPr>
            </w:pPr>
            <w:r w:rsidRPr="006C639F">
              <w:rPr>
                <w:rFonts w:eastAsia="Times New Roman" w:cs="Times New Roman"/>
                <w:color w:val="000000"/>
                <w:szCs w:val="24"/>
                <w:lang w:eastAsia="fi-FI"/>
              </w:rPr>
              <w:t> </w:t>
            </w:r>
          </w:p>
        </w:tc>
        <w:tc>
          <w:tcPr>
            <w:tcW w:w="1276" w:type="dxa"/>
            <w:tcBorders>
              <w:top w:val="nil"/>
              <w:left w:val="nil"/>
              <w:bottom w:val="single" w:sz="8" w:space="0" w:color="auto"/>
              <w:right w:val="nil"/>
            </w:tcBorders>
            <w:shd w:val="clear" w:color="auto" w:fill="auto"/>
            <w:noWrap/>
            <w:vAlign w:val="center"/>
            <w:hideMark/>
          </w:tcPr>
          <w:p w14:paraId="61293130"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Group A*</w:t>
            </w:r>
          </w:p>
        </w:tc>
        <w:tc>
          <w:tcPr>
            <w:tcW w:w="1417" w:type="dxa"/>
            <w:tcBorders>
              <w:top w:val="nil"/>
              <w:left w:val="nil"/>
              <w:bottom w:val="single" w:sz="8" w:space="0" w:color="auto"/>
              <w:right w:val="nil"/>
            </w:tcBorders>
            <w:shd w:val="clear" w:color="auto" w:fill="auto"/>
            <w:noWrap/>
            <w:vAlign w:val="center"/>
            <w:hideMark/>
          </w:tcPr>
          <w:p w14:paraId="0450D5CF"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Group B**</w:t>
            </w:r>
          </w:p>
        </w:tc>
        <w:tc>
          <w:tcPr>
            <w:tcW w:w="977" w:type="dxa"/>
            <w:tcBorders>
              <w:top w:val="nil"/>
              <w:left w:val="nil"/>
              <w:bottom w:val="single" w:sz="8" w:space="0" w:color="auto"/>
              <w:right w:val="nil"/>
            </w:tcBorders>
            <w:shd w:val="clear" w:color="auto" w:fill="auto"/>
            <w:noWrap/>
            <w:vAlign w:val="center"/>
            <w:hideMark/>
          </w:tcPr>
          <w:p w14:paraId="2C2711BC"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Total</w:t>
            </w:r>
          </w:p>
        </w:tc>
      </w:tr>
      <w:tr w:rsidR="00253D04" w:rsidRPr="006C639F" w14:paraId="0016DA0D" w14:textId="77777777" w:rsidTr="00EB1C2D">
        <w:trPr>
          <w:trHeight w:val="630"/>
        </w:trPr>
        <w:tc>
          <w:tcPr>
            <w:tcW w:w="5245" w:type="dxa"/>
            <w:tcBorders>
              <w:top w:val="nil"/>
              <w:left w:val="nil"/>
              <w:bottom w:val="nil"/>
              <w:right w:val="nil"/>
            </w:tcBorders>
            <w:shd w:val="clear" w:color="auto" w:fill="auto"/>
            <w:vAlign w:val="center"/>
            <w:hideMark/>
          </w:tcPr>
          <w:p w14:paraId="3E67964C" w14:textId="77777777" w:rsidR="00253D04" w:rsidRPr="006C639F" w:rsidRDefault="00253D04" w:rsidP="00EB1C2D">
            <w:pPr>
              <w:ind w:firstLine="0"/>
              <w:rPr>
                <w:rFonts w:eastAsia="Times New Roman" w:cs="Times New Roman"/>
                <w:color w:val="000000"/>
                <w:szCs w:val="24"/>
                <w:lang w:eastAsia="fi-FI"/>
              </w:rPr>
            </w:pPr>
            <w:r w:rsidRPr="006C639F">
              <w:rPr>
                <w:rFonts w:eastAsia="Times New Roman" w:cs="Times New Roman"/>
                <w:color w:val="000000"/>
                <w:szCs w:val="24"/>
                <w:lang w:val="en-GB" w:eastAsia="fi-FI"/>
              </w:rPr>
              <w:t>Emotionally disengaging peer interaction (n)</w:t>
            </w:r>
          </w:p>
        </w:tc>
        <w:tc>
          <w:tcPr>
            <w:tcW w:w="1276" w:type="dxa"/>
            <w:tcBorders>
              <w:top w:val="nil"/>
              <w:left w:val="nil"/>
              <w:bottom w:val="nil"/>
              <w:right w:val="nil"/>
            </w:tcBorders>
            <w:shd w:val="clear" w:color="auto" w:fill="auto"/>
            <w:noWrap/>
            <w:vAlign w:val="center"/>
            <w:hideMark/>
          </w:tcPr>
          <w:p w14:paraId="26FDAE90"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11</w:t>
            </w:r>
          </w:p>
        </w:tc>
        <w:tc>
          <w:tcPr>
            <w:tcW w:w="1417" w:type="dxa"/>
            <w:tcBorders>
              <w:top w:val="nil"/>
              <w:left w:val="nil"/>
              <w:bottom w:val="nil"/>
              <w:right w:val="nil"/>
            </w:tcBorders>
            <w:shd w:val="clear" w:color="auto" w:fill="auto"/>
            <w:noWrap/>
            <w:vAlign w:val="center"/>
            <w:hideMark/>
          </w:tcPr>
          <w:p w14:paraId="6D1E92B1"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36</w:t>
            </w:r>
          </w:p>
        </w:tc>
        <w:tc>
          <w:tcPr>
            <w:tcW w:w="977" w:type="dxa"/>
            <w:tcBorders>
              <w:top w:val="nil"/>
              <w:left w:val="nil"/>
              <w:bottom w:val="nil"/>
              <w:right w:val="nil"/>
            </w:tcBorders>
            <w:shd w:val="clear" w:color="auto" w:fill="auto"/>
            <w:noWrap/>
            <w:vAlign w:val="center"/>
            <w:hideMark/>
          </w:tcPr>
          <w:p w14:paraId="48EE7BF9"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47</w:t>
            </w:r>
          </w:p>
        </w:tc>
      </w:tr>
      <w:tr w:rsidR="00253D04" w:rsidRPr="006C639F" w14:paraId="0D5DB830" w14:textId="77777777" w:rsidTr="00EB1C2D">
        <w:trPr>
          <w:trHeight w:val="315"/>
        </w:trPr>
        <w:tc>
          <w:tcPr>
            <w:tcW w:w="5245" w:type="dxa"/>
            <w:tcBorders>
              <w:top w:val="nil"/>
              <w:left w:val="nil"/>
              <w:bottom w:val="nil"/>
              <w:right w:val="nil"/>
            </w:tcBorders>
            <w:shd w:val="clear" w:color="auto" w:fill="auto"/>
            <w:vAlign w:val="bottom"/>
            <w:hideMark/>
          </w:tcPr>
          <w:p w14:paraId="07B7C8FE" w14:textId="77777777" w:rsidR="00253D04" w:rsidRPr="006C639F" w:rsidRDefault="00253D04"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30A66874" w14:textId="77777777" w:rsidR="00253D04" w:rsidRPr="006C639F" w:rsidRDefault="00134C8C" w:rsidP="00134C8C">
            <w:pPr>
              <w:ind w:firstLine="0"/>
              <w:rPr>
                <w:rFonts w:eastAsia="Times New Roman" w:cs="Times New Roman"/>
                <w:color w:val="000000"/>
                <w:szCs w:val="24"/>
                <w:lang w:val="fi-FI" w:eastAsia="fi-FI"/>
              </w:rPr>
            </w:pPr>
            <w:r>
              <w:rPr>
                <w:rFonts w:eastAsia="Times New Roman" w:cs="Times New Roman"/>
                <w:color w:val="000000"/>
                <w:szCs w:val="24"/>
                <w:lang w:val="fi-FI" w:eastAsia="fi-FI"/>
              </w:rPr>
              <w:t>74</w:t>
            </w:r>
            <w:r w:rsidR="00253D04" w:rsidRPr="006C639F">
              <w:rPr>
                <w:rFonts w:eastAsia="Times New Roman" w:cs="Times New Roman"/>
                <w:color w:val="000000"/>
                <w:szCs w:val="24"/>
                <w:lang w:val="fi-FI" w:eastAsia="fi-FI"/>
              </w:rPr>
              <w:t xml:space="preserve"> %</w:t>
            </w:r>
          </w:p>
        </w:tc>
        <w:tc>
          <w:tcPr>
            <w:tcW w:w="1417" w:type="dxa"/>
            <w:tcBorders>
              <w:top w:val="nil"/>
              <w:left w:val="nil"/>
              <w:bottom w:val="nil"/>
              <w:right w:val="nil"/>
            </w:tcBorders>
            <w:shd w:val="clear" w:color="auto" w:fill="auto"/>
            <w:noWrap/>
            <w:vAlign w:val="center"/>
            <w:hideMark/>
          </w:tcPr>
          <w:p w14:paraId="7B0209C4" w14:textId="77777777" w:rsidR="00253D04" w:rsidRPr="006C639F" w:rsidRDefault="00134C8C" w:rsidP="00134C8C">
            <w:pPr>
              <w:ind w:firstLine="0"/>
              <w:rPr>
                <w:rFonts w:eastAsia="Times New Roman" w:cs="Times New Roman"/>
                <w:color w:val="000000"/>
                <w:szCs w:val="24"/>
                <w:lang w:val="fi-FI" w:eastAsia="fi-FI"/>
              </w:rPr>
            </w:pPr>
            <w:r>
              <w:rPr>
                <w:rFonts w:eastAsia="Times New Roman" w:cs="Times New Roman"/>
                <w:color w:val="000000"/>
                <w:szCs w:val="24"/>
                <w:lang w:val="fi-FI" w:eastAsia="fi-FI"/>
              </w:rPr>
              <w:t>54</w:t>
            </w:r>
            <w:r w:rsidR="00253D04" w:rsidRPr="006C639F">
              <w:rPr>
                <w:rFonts w:eastAsia="Times New Roman" w:cs="Times New Roman"/>
                <w:color w:val="000000"/>
                <w:szCs w:val="24"/>
                <w:lang w:val="fi-FI" w:eastAsia="fi-FI"/>
              </w:rPr>
              <w:t xml:space="preserve"> %</w:t>
            </w:r>
          </w:p>
        </w:tc>
        <w:tc>
          <w:tcPr>
            <w:tcW w:w="977" w:type="dxa"/>
            <w:tcBorders>
              <w:top w:val="nil"/>
              <w:left w:val="nil"/>
              <w:bottom w:val="nil"/>
              <w:right w:val="nil"/>
            </w:tcBorders>
            <w:shd w:val="clear" w:color="auto" w:fill="auto"/>
            <w:noWrap/>
            <w:vAlign w:val="center"/>
            <w:hideMark/>
          </w:tcPr>
          <w:p w14:paraId="183D93D9" w14:textId="77777777" w:rsidR="00253D04" w:rsidRPr="006C639F" w:rsidRDefault="00253D04" w:rsidP="00EB1C2D">
            <w:pPr>
              <w:ind w:firstLine="0"/>
              <w:rPr>
                <w:rFonts w:eastAsia="Times New Roman" w:cs="Times New Roman"/>
                <w:color w:val="000000"/>
                <w:szCs w:val="24"/>
                <w:lang w:val="fi-FI" w:eastAsia="fi-FI"/>
              </w:rPr>
            </w:pPr>
          </w:p>
        </w:tc>
      </w:tr>
      <w:tr w:rsidR="00253D04" w:rsidRPr="006C639F" w14:paraId="39573A15" w14:textId="77777777" w:rsidTr="00EB1C2D">
        <w:trPr>
          <w:trHeight w:val="315"/>
        </w:trPr>
        <w:tc>
          <w:tcPr>
            <w:tcW w:w="5245" w:type="dxa"/>
            <w:tcBorders>
              <w:top w:val="nil"/>
              <w:left w:val="nil"/>
              <w:bottom w:val="nil"/>
              <w:right w:val="nil"/>
            </w:tcBorders>
            <w:shd w:val="clear" w:color="auto" w:fill="auto"/>
            <w:vAlign w:val="bottom"/>
            <w:hideMark/>
          </w:tcPr>
          <w:p w14:paraId="5F6FC06F" w14:textId="77777777" w:rsidR="00253D04" w:rsidRPr="006C639F" w:rsidRDefault="00253D04"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5D36489A" w14:textId="77777777" w:rsidR="00253D04" w:rsidRPr="006C639F" w:rsidRDefault="00253D04" w:rsidP="00EB1C2D">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center"/>
            <w:hideMark/>
          </w:tcPr>
          <w:p w14:paraId="068C1377" w14:textId="77777777" w:rsidR="00253D04" w:rsidRPr="006C639F" w:rsidRDefault="00253D04" w:rsidP="00EB1C2D">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46D375B3" w14:textId="77777777" w:rsidR="00253D04" w:rsidRPr="006C639F" w:rsidRDefault="00253D04" w:rsidP="00EB1C2D">
            <w:pPr>
              <w:ind w:firstLine="0"/>
              <w:rPr>
                <w:rFonts w:eastAsia="Times New Roman" w:cs="Times New Roman"/>
                <w:color w:val="000000"/>
                <w:szCs w:val="24"/>
                <w:lang w:val="fi-FI" w:eastAsia="fi-FI"/>
              </w:rPr>
            </w:pPr>
          </w:p>
        </w:tc>
      </w:tr>
      <w:tr w:rsidR="00253D04" w:rsidRPr="006C639F" w14:paraId="1CC3ED27" w14:textId="77777777" w:rsidTr="00EB1C2D">
        <w:trPr>
          <w:trHeight w:val="945"/>
        </w:trPr>
        <w:tc>
          <w:tcPr>
            <w:tcW w:w="5245" w:type="dxa"/>
            <w:tcBorders>
              <w:top w:val="nil"/>
              <w:left w:val="nil"/>
              <w:bottom w:val="nil"/>
              <w:right w:val="nil"/>
            </w:tcBorders>
            <w:shd w:val="clear" w:color="auto" w:fill="auto"/>
            <w:vAlign w:val="center"/>
            <w:hideMark/>
          </w:tcPr>
          <w:p w14:paraId="625BFA3D" w14:textId="77777777" w:rsidR="00253D04" w:rsidRPr="006C639F" w:rsidRDefault="00253D04" w:rsidP="00EB1C2D">
            <w:pPr>
              <w:ind w:firstLine="0"/>
              <w:rPr>
                <w:rFonts w:eastAsia="Times New Roman" w:cs="Times New Roman"/>
                <w:color w:val="000000"/>
                <w:szCs w:val="24"/>
                <w:lang w:eastAsia="fi-FI"/>
              </w:rPr>
            </w:pPr>
            <w:r w:rsidRPr="006C639F">
              <w:rPr>
                <w:rFonts w:eastAsia="Times New Roman" w:cs="Times New Roman"/>
                <w:color w:val="000000"/>
                <w:szCs w:val="24"/>
                <w:lang w:eastAsia="fi-FI"/>
              </w:rPr>
              <w:t>Emotionally disengaging student– teacher interaction (n)</w:t>
            </w:r>
          </w:p>
        </w:tc>
        <w:tc>
          <w:tcPr>
            <w:tcW w:w="1276" w:type="dxa"/>
            <w:tcBorders>
              <w:top w:val="nil"/>
              <w:left w:val="nil"/>
              <w:bottom w:val="nil"/>
              <w:right w:val="nil"/>
            </w:tcBorders>
            <w:shd w:val="clear" w:color="auto" w:fill="auto"/>
            <w:noWrap/>
            <w:vAlign w:val="center"/>
            <w:hideMark/>
          </w:tcPr>
          <w:p w14:paraId="7D9BE25A"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w:t>
            </w:r>
          </w:p>
        </w:tc>
        <w:tc>
          <w:tcPr>
            <w:tcW w:w="1417" w:type="dxa"/>
            <w:tcBorders>
              <w:top w:val="nil"/>
              <w:left w:val="nil"/>
              <w:bottom w:val="nil"/>
              <w:right w:val="nil"/>
            </w:tcBorders>
            <w:shd w:val="clear" w:color="auto" w:fill="auto"/>
            <w:noWrap/>
            <w:vAlign w:val="center"/>
            <w:hideMark/>
          </w:tcPr>
          <w:p w14:paraId="6047A1FC"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20</w:t>
            </w:r>
          </w:p>
        </w:tc>
        <w:tc>
          <w:tcPr>
            <w:tcW w:w="977" w:type="dxa"/>
            <w:tcBorders>
              <w:top w:val="nil"/>
              <w:left w:val="nil"/>
              <w:bottom w:val="nil"/>
              <w:right w:val="nil"/>
            </w:tcBorders>
            <w:shd w:val="clear" w:color="auto" w:fill="auto"/>
            <w:noWrap/>
            <w:vAlign w:val="center"/>
            <w:hideMark/>
          </w:tcPr>
          <w:p w14:paraId="371E3429"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22</w:t>
            </w:r>
            <w:r w:rsidR="00134C8C">
              <w:rPr>
                <w:rFonts w:eastAsia="Times New Roman" w:cs="Times New Roman"/>
                <w:color w:val="000000"/>
                <w:szCs w:val="24"/>
                <w:lang w:val="fi-FI" w:eastAsia="fi-FI"/>
              </w:rPr>
              <w:t xml:space="preserve">  </w:t>
            </w:r>
          </w:p>
        </w:tc>
      </w:tr>
      <w:tr w:rsidR="00253D04" w:rsidRPr="006C639F" w14:paraId="0085410D" w14:textId="77777777" w:rsidTr="00EB1C2D">
        <w:trPr>
          <w:trHeight w:val="315"/>
        </w:trPr>
        <w:tc>
          <w:tcPr>
            <w:tcW w:w="5245" w:type="dxa"/>
            <w:tcBorders>
              <w:top w:val="nil"/>
              <w:left w:val="nil"/>
              <w:bottom w:val="nil"/>
              <w:right w:val="nil"/>
            </w:tcBorders>
            <w:shd w:val="clear" w:color="auto" w:fill="auto"/>
            <w:vAlign w:val="bottom"/>
            <w:hideMark/>
          </w:tcPr>
          <w:p w14:paraId="236DA5FF" w14:textId="77777777" w:rsidR="00253D04" w:rsidRPr="006C639F" w:rsidRDefault="00253D04"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4085DD49" w14:textId="77777777" w:rsidR="00253D04" w:rsidRPr="006C639F" w:rsidRDefault="00134C8C" w:rsidP="00134C8C">
            <w:pPr>
              <w:ind w:firstLine="0"/>
              <w:rPr>
                <w:rFonts w:eastAsia="Times New Roman" w:cs="Times New Roman"/>
                <w:color w:val="000000"/>
                <w:szCs w:val="24"/>
                <w:lang w:val="fi-FI" w:eastAsia="fi-FI"/>
              </w:rPr>
            </w:pPr>
            <w:r>
              <w:rPr>
                <w:rFonts w:eastAsia="Times New Roman" w:cs="Times New Roman"/>
                <w:color w:val="000000"/>
                <w:szCs w:val="24"/>
                <w:lang w:val="fi-FI" w:eastAsia="fi-FI"/>
              </w:rPr>
              <w:t>13</w:t>
            </w:r>
            <w:r w:rsidR="00253D04" w:rsidRPr="006C639F">
              <w:rPr>
                <w:rFonts w:eastAsia="Times New Roman" w:cs="Times New Roman"/>
                <w:color w:val="000000"/>
                <w:szCs w:val="24"/>
                <w:lang w:val="fi-FI" w:eastAsia="fi-FI"/>
              </w:rPr>
              <w:t xml:space="preserve"> %</w:t>
            </w:r>
          </w:p>
        </w:tc>
        <w:tc>
          <w:tcPr>
            <w:tcW w:w="1417" w:type="dxa"/>
            <w:tcBorders>
              <w:top w:val="nil"/>
              <w:left w:val="nil"/>
              <w:bottom w:val="nil"/>
              <w:right w:val="nil"/>
            </w:tcBorders>
            <w:shd w:val="clear" w:color="auto" w:fill="auto"/>
            <w:noWrap/>
            <w:vAlign w:val="center"/>
            <w:hideMark/>
          </w:tcPr>
          <w:p w14:paraId="6A871574" w14:textId="77777777" w:rsidR="00253D04" w:rsidRPr="006C639F" w:rsidRDefault="00134C8C" w:rsidP="00134C8C">
            <w:pPr>
              <w:ind w:firstLine="0"/>
              <w:rPr>
                <w:rFonts w:eastAsia="Times New Roman" w:cs="Times New Roman"/>
                <w:color w:val="000000"/>
                <w:szCs w:val="24"/>
                <w:lang w:val="fi-FI" w:eastAsia="fi-FI"/>
              </w:rPr>
            </w:pPr>
            <w:r>
              <w:rPr>
                <w:rFonts w:eastAsia="Times New Roman" w:cs="Times New Roman"/>
                <w:color w:val="000000"/>
                <w:szCs w:val="24"/>
                <w:lang w:val="fi-FI" w:eastAsia="fi-FI"/>
              </w:rPr>
              <w:t>30</w:t>
            </w:r>
            <w:r w:rsidR="00253D04" w:rsidRPr="006C639F">
              <w:rPr>
                <w:rFonts w:eastAsia="Times New Roman" w:cs="Times New Roman"/>
                <w:color w:val="000000"/>
                <w:szCs w:val="24"/>
                <w:lang w:val="fi-FI" w:eastAsia="fi-FI"/>
              </w:rPr>
              <w:t xml:space="preserve"> %</w:t>
            </w:r>
          </w:p>
        </w:tc>
        <w:tc>
          <w:tcPr>
            <w:tcW w:w="977" w:type="dxa"/>
            <w:tcBorders>
              <w:top w:val="nil"/>
              <w:left w:val="nil"/>
              <w:bottom w:val="nil"/>
              <w:right w:val="nil"/>
            </w:tcBorders>
            <w:shd w:val="clear" w:color="auto" w:fill="auto"/>
            <w:noWrap/>
            <w:vAlign w:val="center"/>
            <w:hideMark/>
          </w:tcPr>
          <w:p w14:paraId="5B4EFE79" w14:textId="77777777" w:rsidR="00253D04" w:rsidRPr="006C639F" w:rsidRDefault="00253D04" w:rsidP="00EB1C2D">
            <w:pPr>
              <w:ind w:firstLine="0"/>
              <w:rPr>
                <w:rFonts w:eastAsia="Times New Roman" w:cs="Times New Roman"/>
                <w:color w:val="000000"/>
                <w:szCs w:val="24"/>
                <w:lang w:val="fi-FI" w:eastAsia="fi-FI"/>
              </w:rPr>
            </w:pPr>
          </w:p>
        </w:tc>
      </w:tr>
      <w:tr w:rsidR="00253D04" w:rsidRPr="006C639F" w14:paraId="04EC2016" w14:textId="77777777" w:rsidTr="00EB1C2D">
        <w:trPr>
          <w:trHeight w:val="315"/>
        </w:trPr>
        <w:tc>
          <w:tcPr>
            <w:tcW w:w="5245" w:type="dxa"/>
            <w:tcBorders>
              <w:top w:val="nil"/>
              <w:left w:val="nil"/>
              <w:bottom w:val="nil"/>
              <w:right w:val="nil"/>
            </w:tcBorders>
            <w:shd w:val="clear" w:color="auto" w:fill="auto"/>
            <w:vAlign w:val="bottom"/>
            <w:hideMark/>
          </w:tcPr>
          <w:p w14:paraId="131D4214" w14:textId="77777777" w:rsidR="00253D04" w:rsidRPr="006C639F" w:rsidRDefault="00253D04"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647CAF23" w14:textId="77777777" w:rsidR="00253D04" w:rsidRPr="006C639F" w:rsidRDefault="00253D04" w:rsidP="00EB1C2D">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center"/>
            <w:hideMark/>
          </w:tcPr>
          <w:p w14:paraId="1E57CE10" w14:textId="77777777" w:rsidR="00253D04" w:rsidRPr="006C639F" w:rsidRDefault="00253D04" w:rsidP="00EB1C2D">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2988ECAB" w14:textId="77777777" w:rsidR="00253D04" w:rsidRPr="006C639F" w:rsidRDefault="00253D04" w:rsidP="00EB1C2D">
            <w:pPr>
              <w:ind w:firstLine="0"/>
              <w:rPr>
                <w:rFonts w:eastAsia="Times New Roman" w:cs="Times New Roman"/>
                <w:color w:val="000000"/>
                <w:szCs w:val="24"/>
                <w:lang w:val="fi-FI" w:eastAsia="fi-FI"/>
              </w:rPr>
            </w:pPr>
          </w:p>
        </w:tc>
      </w:tr>
      <w:tr w:rsidR="00253D04" w:rsidRPr="006C639F" w14:paraId="6080AAF5" w14:textId="77777777" w:rsidTr="00EB1C2D">
        <w:trPr>
          <w:trHeight w:val="630"/>
        </w:trPr>
        <w:tc>
          <w:tcPr>
            <w:tcW w:w="5245" w:type="dxa"/>
            <w:tcBorders>
              <w:top w:val="nil"/>
              <w:left w:val="nil"/>
              <w:bottom w:val="nil"/>
              <w:right w:val="nil"/>
            </w:tcBorders>
            <w:shd w:val="clear" w:color="auto" w:fill="auto"/>
            <w:vAlign w:val="center"/>
            <w:hideMark/>
          </w:tcPr>
          <w:p w14:paraId="719795CD"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Cognitively disengaging studying (n)</w:t>
            </w:r>
          </w:p>
        </w:tc>
        <w:tc>
          <w:tcPr>
            <w:tcW w:w="1276" w:type="dxa"/>
            <w:tcBorders>
              <w:top w:val="nil"/>
              <w:left w:val="nil"/>
              <w:bottom w:val="nil"/>
              <w:right w:val="nil"/>
            </w:tcBorders>
            <w:shd w:val="clear" w:color="auto" w:fill="auto"/>
            <w:noWrap/>
            <w:vAlign w:val="center"/>
            <w:hideMark/>
          </w:tcPr>
          <w:p w14:paraId="5F5AC0F2"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2</w:t>
            </w:r>
          </w:p>
        </w:tc>
        <w:tc>
          <w:tcPr>
            <w:tcW w:w="1417" w:type="dxa"/>
            <w:tcBorders>
              <w:top w:val="nil"/>
              <w:left w:val="nil"/>
              <w:bottom w:val="nil"/>
              <w:right w:val="nil"/>
            </w:tcBorders>
            <w:shd w:val="clear" w:color="auto" w:fill="auto"/>
            <w:noWrap/>
            <w:vAlign w:val="center"/>
            <w:hideMark/>
          </w:tcPr>
          <w:p w14:paraId="37A8FE46"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11</w:t>
            </w:r>
          </w:p>
        </w:tc>
        <w:tc>
          <w:tcPr>
            <w:tcW w:w="977" w:type="dxa"/>
            <w:tcBorders>
              <w:top w:val="nil"/>
              <w:left w:val="nil"/>
              <w:bottom w:val="nil"/>
              <w:right w:val="nil"/>
            </w:tcBorders>
            <w:shd w:val="clear" w:color="auto" w:fill="auto"/>
            <w:noWrap/>
            <w:vAlign w:val="center"/>
            <w:hideMark/>
          </w:tcPr>
          <w:p w14:paraId="692F8EA8"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13</w:t>
            </w:r>
          </w:p>
        </w:tc>
      </w:tr>
      <w:tr w:rsidR="00253D04" w:rsidRPr="006C639F" w14:paraId="114C15DE" w14:textId="77777777" w:rsidTr="00EB1C2D">
        <w:trPr>
          <w:trHeight w:val="315"/>
        </w:trPr>
        <w:tc>
          <w:tcPr>
            <w:tcW w:w="5245" w:type="dxa"/>
            <w:tcBorders>
              <w:top w:val="nil"/>
              <w:left w:val="nil"/>
              <w:bottom w:val="nil"/>
              <w:right w:val="nil"/>
            </w:tcBorders>
            <w:shd w:val="clear" w:color="auto" w:fill="auto"/>
            <w:vAlign w:val="bottom"/>
            <w:hideMark/>
          </w:tcPr>
          <w:p w14:paraId="432B505F" w14:textId="77777777" w:rsidR="00253D04" w:rsidRPr="006C639F" w:rsidRDefault="00253D04"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6FB71E68" w14:textId="77777777" w:rsidR="00253D04" w:rsidRPr="006C639F" w:rsidRDefault="00253D04"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w:t>
            </w:r>
            <w:r w:rsidR="00134C8C">
              <w:rPr>
                <w:rFonts w:eastAsia="Times New Roman" w:cs="Times New Roman"/>
                <w:color w:val="000000"/>
                <w:szCs w:val="24"/>
                <w:lang w:val="fi-FI" w:eastAsia="fi-FI"/>
              </w:rPr>
              <w:t>3</w:t>
            </w:r>
            <w:r w:rsidRPr="006C639F">
              <w:rPr>
                <w:rFonts w:eastAsia="Times New Roman" w:cs="Times New Roman"/>
                <w:color w:val="000000"/>
                <w:szCs w:val="24"/>
                <w:lang w:val="fi-FI" w:eastAsia="fi-FI"/>
              </w:rPr>
              <w:t xml:space="preserve"> %</w:t>
            </w:r>
          </w:p>
        </w:tc>
        <w:tc>
          <w:tcPr>
            <w:tcW w:w="1417" w:type="dxa"/>
            <w:tcBorders>
              <w:top w:val="nil"/>
              <w:left w:val="nil"/>
              <w:bottom w:val="nil"/>
              <w:right w:val="nil"/>
            </w:tcBorders>
            <w:shd w:val="clear" w:color="auto" w:fill="auto"/>
            <w:noWrap/>
            <w:vAlign w:val="center"/>
            <w:hideMark/>
          </w:tcPr>
          <w:p w14:paraId="5F166A13" w14:textId="77777777" w:rsidR="00253D04" w:rsidRPr="006C639F" w:rsidRDefault="00134C8C" w:rsidP="00134C8C">
            <w:pPr>
              <w:ind w:firstLine="0"/>
              <w:rPr>
                <w:rFonts w:eastAsia="Times New Roman" w:cs="Times New Roman"/>
                <w:color w:val="000000"/>
                <w:szCs w:val="24"/>
                <w:lang w:val="fi-FI" w:eastAsia="fi-FI"/>
              </w:rPr>
            </w:pPr>
            <w:r>
              <w:rPr>
                <w:rFonts w:eastAsia="Times New Roman" w:cs="Times New Roman"/>
                <w:color w:val="000000"/>
                <w:szCs w:val="24"/>
                <w:lang w:val="fi-FI" w:eastAsia="fi-FI"/>
              </w:rPr>
              <w:t>16</w:t>
            </w:r>
            <w:r w:rsidR="00253D04" w:rsidRPr="006C639F">
              <w:rPr>
                <w:rFonts w:eastAsia="Times New Roman" w:cs="Times New Roman"/>
                <w:color w:val="000000"/>
                <w:szCs w:val="24"/>
                <w:lang w:val="fi-FI" w:eastAsia="fi-FI"/>
              </w:rPr>
              <w:t xml:space="preserve"> %</w:t>
            </w:r>
          </w:p>
        </w:tc>
        <w:tc>
          <w:tcPr>
            <w:tcW w:w="977" w:type="dxa"/>
            <w:tcBorders>
              <w:top w:val="nil"/>
              <w:left w:val="nil"/>
              <w:bottom w:val="nil"/>
              <w:right w:val="nil"/>
            </w:tcBorders>
            <w:shd w:val="clear" w:color="auto" w:fill="auto"/>
            <w:noWrap/>
            <w:vAlign w:val="center"/>
            <w:hideMark/>
          </w:tcPr>
          <w:p w14:paraId="79F04320" w14:textId="77777777" w:rsidR="00253D04" w:rsidRPr="006C639F" w:rsidRDefault="00253D04" w:rsidP="00EB1C2D">
            <w:pPr>
              <w:ind w:firstLine="0"/>
              <w:rPr>
                <w:rFonts w:eastAsia="Times New Roman" w:cs="Times New Roman"/>
                <w:color w:val="000000"/>
                <w:szCs w:val="24"/>
                <w:lang w:val="fi-FI" w:eastAsia="fi-FI"/>
              </w:rPr>
            </w:pPr>
          </w:p>
        </w:tc>
      </w:tr>
      <w:tr w:rsidR="00253D04" w:rsidRPr="006C639F" w14:paraId="6AAA5B31" w14:textId="77777777" w:rsidTr="00EB1C2D">
        <w:trPr>
          <w:trHeight w:val="315"/>
        </w:trPr>
        <w:tc>
          <w:tcPr>
            <w:tcW w:w="5245" w:type="dxa"/>
            <w:tcBorders>
              <w:top w:val="nil"/>
              <w:left w:val="nil"/>
              <w:bottom w:val="nil"/>
              <w:right w:val="nil"/>
            </w:tcBorders>
            <w:shd w:val="clear" w:color="auto" w:fill="auto"/>
            <w:vAlign w:val="bottom"/>
            <w:hideMark/>
          </w:tcPr>
          <w:p w14:paraId="2EEFA736" w14:textId="77777777" w:rsidR="00253D04" w:rsidRPr="006C639F" w:rsidRDefault="00253D04" w:rsidP="00EB1C2D">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3AEE99FC" w14:textId="77777777" w:rsidR="00253D04" w:rsidRPr="006C639F" w:rsidRDefault="00253D04" w:rsidP="00EB1C2D">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center"/>
            <w:hideMark/>
          </w:tcPr>
          <w:p w14:paraId="6E962A71" w14:textId="77777777" w:rsidR="00253D04" w:rsidRPr="006C639F" w:rsidRDefault="00253D04" w:rsidP="00EB1C2D">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11E71F59" w14:textId="77777777" w:rsidR="00253D04" w:rsidRPr="006C639F" w:rsidRDefault="00253D04" w:rsidP="00EB1C2D">
            <w:pPr>
              <w:ind w:firstLine="0"/>
              <w:rPr>
                <w:rFonts w:eastAsia="Times New Roman" w:cs="Times New Roman"/>
                <w:color w:val="000000"/>
                <w:szCs w:val="24"/>
                <w:lang w:val="fi-FI" w:eastAsia="fi-FI"/>
              </w:rPr>
            </w:pPr>
          </w:p>
        </w:tc>
      </w:tr>
      <w:tr w:rsidR="00253D04" w:rsidRPr="006C639F" w14:paraId="3DD142C1" w14:textId="77777777" w:rsidTr="00EB1C2D">
        <w:trPr>
          <w:trHeight w:val="315"/>
        </w:trPr>
        <w:tc>
          <w:tcPr>
            <w:tcW w:w="5245" w:type="dxa"/>
            <w:tcBorders>
              <w:top w:val="nil"/>
              <w:left w:val="nil"/>
              <w:bottom w:val="nil"/>
              <w:right w:val="nil"/>
            </w:tcBorders>
            <w:shd w:val="clear" w:color="auto" w:fill="auto"/>
            <w:vAlign w:val="center"/>
            <w:hideMark/>
          </w:tcPr>
          <w:p w14:paraId="24795A0B"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Total</w:t>
            </w:r>
          </w:p>
        </w:tc>
        <w:tc>
          <w:tcPr>
            <w:tcW w:w="1276" w:type="dxa"/>
            <w:tcBorders>
              <w:top w:val="nil"/>
              <w:left w:val="nil"/>
              <w:bottom w:val="nil"/>
              <w:right w:val="nil"/>
            </w:tcBorders>
            <w:shd w:val="clear" w:color="auto" w:fill="auto"/>
            <w:noWrap/>
            <w:vAlign w:val="center"/>
            <w:hideMark/>
          </w:tcPr>
          <w:p w14:paraId="5E801968"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15</w:t>
            </w:r>
          </w:p>
        </w:tc>
        <w:tc>
          <w:tcPr>
            <w:tcW w:w="1417" w:type="dxa"/>
            <w:tcBorders>
              <w:top w:val="nil"/>
              <w:left w:val="nil"/>
              <w:bottom w:val="nil"/>
              <w:right w:val="nil"/>
            </w:tcBorders>
            <w:shd w:val="clear" w:color="auto" w:fill="auto"/>
            <w:noWrap/>
            <w:vAlign w:val="center"/>
            <w:hideMark/>
          </w:tcPr>
          <w:p w14:paraId="735B9A92"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67</w:t>
            </w:r>
          </w:p>
        </w:tc>
        <w:tc>
          <w:tcPr>
            <w:tcW w:w="977" w:type="dxa"/>
            <w:tcBorders>
              <w:top w:val="nil"/>
              <w:left w:val="nil"/>
              <w:bottom w:val="nil"/>
              <w:right w:val="nil"/>
            </w:tcBorders>
            <w:shd w:val="clear" w:color="auto" w:fill="auto"/>
            <w:noWrap/>
            <w:vAlign w:val="center"/>
            <w:hideMark/>
          </w:tcPr>
          <w:p w14:paraId="1C45D38B"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82</w:t>
            </w:r>
          </w:p>
        </w:tc>
      </w:tr>
      <w:tr w:rsidR="00253D04" w:rsidRPr="006C639F" w14:paraId="06364CD4" w14:textId="77777777" w:rsidTr="00EB1C2D">
        <w:trPr>
          <w:trHeight w:val="330"/>
        </w:trPr>
        <w:tc>
          <w:tcPr>
            <w:tcW w:w="5245" w:type="dxa"/>
            <w:tcBorders>
              <w:top w:val="nil"/>
              <w:left w:val="nil"/>
              <w:bottom w:val="single" w:sz="8" w:space="0" w:color="auto"/>
              <w:right w:val="nil"/>
            </w:tcBorders>
            <w:shd w:val="clear" w:color="auto" w:fill="auto"/>
            <w:vAlign w:val="center"/>
            <w:hideMark/>
          </w:tcPr>
          <w:p w14:paraId="1FFAB5FD"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 </w:t>
            </w:r>
          </w:p>
        </w:tc>
        <w:tc>
          <w:tcPr>
            <w:tcW w:w="1276" w:type="dxa"/>
            <w:tcBorders>
              <w:top w:val="nil"/>
              <w:left w:val="nil"/>
              <w:bottom w:val="single" w:sz="8" w:space="0" w:color="auto"/>
              <w:right w:val="nil"/>
            </w:tcBorders>
            <w:shd w:val="clear" w:color="auto" w:fill="auto"/>
            <w:noWrap/>
            <w:vAlign w:val="center"/>
            <w:hideMark/>
          </w:tcPr>
          <w:p w14:paraId="70247683"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100 %</w:t>
            </w:r>
          </w:p>
        </w:tc>
        <w:tc>
          <w:tcPr>
            <w:tcW w:w="1417" w:type="dxa"/>
            <w:tcBorders>
              <w:top w:val="nil"/>
              <w:left w:val="nil"/>
              <w:bottom w:val="single" w:sz="8" w:space="0" w:color="auto"/>
              <w:right w:val="nil"/>
            </w:tcBorders>
            <w:shd w:val="clear" w:color="auto" w:fill="auto"/>
            <w:noWrap/>
            <w:vAlign w:val="center"/>
            <w:hideMark/>
          </w:tcPr>
          <w:p w14:paraId="41E363FE"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100 %</w:t>
            </w:r>
          </w:p>
        </w:tc>
        <w:tc>
          <w:tcPr>
            <w:tcW w:w="977" w:type="dxa"/>
            <w:tcBorders>
              <w:top w:val="nil"/>
              <w:left w:val="nil"/>
              <w:bottom w:val="single" w:sz="8" w:space="0" w:color="auto"/>
              <w:right w:val="nil"/>
            </w:tcBorders>
            <w:shd w:val="clear" w:color="auto" w:fill="auto"/>
            <w:noWrap/>
            <w:vAlign w:val="center"/>
            <w:hideMark/>
          </w:tcPr>
          <w:p w14:paraId="4B7FF066" w14:textId="77777777" w:rsidR="00253D04" w:rsidRPr="006C639F" w:rsidRDefault="00253D04" w:rsidP="00EB1C2D">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 </w:t>
            </w:r>
          </w:p>
        </w:tc>
      </w:tr>
    </w:tbl>
    <w:p w14:paraId="6C2E1756" w14:textId="77777777" w:rsidR="00253D04" w:rsidRDefault="00253D04" w:rsidP="00253D04">
      <w:pPr>
        <w:ind w:firstLine="0"/>
        <w:rPr>
          <w:rFonts w:cs="Times New Roman"/>
          <w:i/>
          <w:szCs w:val="24"/>
        </w:rPr>
      </w:pPr>
    </w:p>
    <w:p w14:paraId="3F423288" w14:textId="77777777" w:rsidR="004449F0" w:rsidRDefault="00253D04" w:rsidP="00253D04">
      <w:pPr>
        <w:ind w:firstLine="0"/>
        <w:rPr>
          <w:rFonts w:cs="Times New Roman"/>
          <w:i/>
          <w:szCs w:val="24"/>
        </w:rPr>
      </w:pPr>
      <w:r w:rsidRPr="007F68D7">
        <w:rPr>
          <w:rFonts w:cs="Times New Roman"/>
          <w:i/>
          <w:szCs w:val="24"/>
        </w:rPr>
        <w:t>Note:</w:t>
      </w:r>
      <w:r>
        <w:rPr>
          <w:rFonts w:cs="Times New Roman"/>
          <w:i/>
          <w:szCs w:val="24"/>
        </w:rPr>
        <w:t xml:space="preserve"> </w:t>
      </w:r>
      <w:r w:rsidRPr="007F68D7">
        <w:rPr>
          <w:rFonts w:cs="Times New Roman"/>
          <w:i/>
          <w:szCs w:val="24"/>
        </w:rPr>
        <w:t>*</w:t>
      </w:r>
      <w:r w:rsidRPr="007F68D7">
        <w:rPr>
          <w:rFonts w:cs="Times New Roman"/>
          <w:szCs w:val="24"/>
        </w:rPr>
        <w:t>Students with special needs **Students attending general education</w:t>
      </w:r>
      <w:r>
        <w:t xml:space="preserve">                                         </w:t>
      </w:r>
    </w:p>
    <w:p w14:paraId="699961A6" w14:textId="77777777" w:rsidR="00496C1C" w:rsidRDefault="00496C1C" w:rsidP="00FB091E">
      <w:pPr>
        <w:spacing w:line="360" w:lineRule="auto"/>
        <w:ind w:firstLine="0"/>
        <w:rPr>
          <w:rFonts w:cs="Times New Roman"/>
          <w:b/>
          <w:lang w:val="en-GB"/>
        </w:rPr>
      </w:pPr>
    </w:p>
    <w:tbl>
      <w:tblPr>
        <w:tblW w:w="8915" w:type="dxa"/>
        <w:tblCellMar>
          <w:left w:w="70" w:type="dxa"/>
          <w:right w:w="70" w:type="dxa"/>
        </w:tblCellMar>
        <w:tblLook w:val="04A0" w:firstRow="1" w:lastRow="0" w:firstColumn="1" w:lastColumn="0" w:noHBand="0" w:noVBand="1"/>
      </w:tblPr>
      <w:tblGrid>
        <w:gridCol w:w="5245"/>
        <w:gridCol w:w="1276"/>
        <w:gridCol w:w="1417"/>
        <w:gridCol w:w="977"/>
      </w:tblGrid>
      <w:tr w:rsidR="00C13861" w:rsidRPr="006C639F" w14:paraId="7F83EE6B" w14:textId="77777777" w:rsidTr="00134C8C">
        <w:trPr>
          <w:trHeight w:val="330"/>
        </w:trPr>
        <w:tc>
          <w:tcPr>
            <w:tcW w:w="8915" w:type="dxa"/>
            <w:gridSpan w:val="4"/>
            <w:tcBorders>
              <w:top w:val="nil"/>
              <w:left w:val="nil"/>
              <w:bottom w:val="single" w:sz="8" w:space="0" w:color="auto"/>
              <w:right w:val="nil"/>
            </w:tcBorders>
            <w:shd w:val="clear" w:color="auto" w:fill="auto"/>
            <w:noWrap/>
            <w:vAlign w:val="center"/>
            <w:hideMark/>
          </w:tcPr>
          <w:p w14:paraId="3C43F9C4" w14:textId="77777777" w:rsidR="00727F3E" w:rsidRDefault="00727F3E" w:rsidP="005E4EA5">
            <w:pPr>
              <w:ind w:firstLine="0"/>
              <w:rPr>
                <w:rFonts w:eastAsia="Times New Roman" w:cs="Times New Roman"/>
                <w:b/>
                <w:bCs/>
                <w:color w:val="000000"/>
                <w:szCs w:val="24"/>
                <w:lang w:eastAsia="fi-FI"/>
              </w:rPr>
            </w:pPr>
          </w:p>
          <w:p w14:paraId="16D1B397" w14:textId="77777777" w:rsidR="003652F5" w:rsidRDefault="003652F5" w:rsidP="005E4EA5">
            <w:pPr>
              <w:ind w:firstLine="0"/>
              <w:rPr>
                <w:rFonts w:eastAsia="Times New Roman" w:cs="Times New Roman"/>
                <w:b/>
                <w:bCs/>
                <w:color w:val="000000"/>
                <w:szCs w:val="24"/>
                <w:lang w:eastAsia="fi-FI"/>
              </w:rPr>
            </w:pPr>
          </w:p>
          <w:p w14:paraId="05E3641A" w14:textId="77777777" w:rsidR="00C13861" w:rsidRPr="006C639F" w:rsidRDefault="00C13861" w:rsidP="005E4EA5">
            <w:pPr>
              <w:ind w:firstLine="0"/>
              <w:rPr>
                <w:rFonts w:eastAsia="Times New Roman" w:cs="Times New Roman"/>
                <w:b/>
                <w:bCs/>
                <w:color w:val="000000"/>
                <w:szCs w:val="24"/>
                <w:lang w:eastAsia="fi-FI"/>
              </w:rPr>
            </w:pPr>
            <w:r w:rsidRPr="006C639F">
              <w:rPr>
                <w:rFonts w:eastAsia="Times New Roman" w:cs="Times New Roman"/>
                <w:b/>
                <w:bCs/>
                <w:color w:val="000000"/>
                <w:szCs w:val="24"/>
                <w:lang w:eastAsia="fi-FI"/>
              </w:rPr>
              <w:t xml:space="preserve">Table </w:t>
            </w:r>
            <w:r>
              <w:rPr>
                <w:rFonts w:eastAsia="Times New Roman" w:cs="Times New Roman"/>
                <w:b/>
                <w:bCs/>
                <w:color w:val="000000"/>
                <w:szCs w:val="24"/>
                <w:lang w:eastAsia="fi-FI"/>
              </w:rPr>
              <w:t>6</w:t>
            </w:r>
            <w:r w:rsidRPr="006C639F">
              <w:rPr>
                <w:rFonts w:eastAsia="Times New Roman" w:cs="Times New Roman"/>
                <w:b/>
                <w:bCs/>
                <w:color w:val="000000"/>
                <w:szCs w:val="24"/>
                <w:lang w:eastAsia="fi-FI"/>
              </w:rPr>
              <w:t xml:space="preserve">. </w:t>
            </w:r>
            <w:r w:rsidRPr="006C639F">
              <w:rPr>
                <w:rFonts w:eastAsia="Times New Roman" w:cs="Times New Roman"/>
                <w:color w:val="000000"/>
                <w:szCs w:val="24"/>
                <w:lang w:eastAsia="fi-FI"/>
              </w:rPr>
              <w:t xml:space="preserve">The </w:t>
            </w:r>
            <w:r w:rsidR="00EB6E30">
              <w:rPr>
                <w:rFonts w:eastAsia="Times New Roman" w:cs="Times New Roman"/>
                <w:color w:val="000000"/>
                <w:szCs w:val="24"/>
                <w:lang w:eastAsia="fi-FI"/>
              </w:rPr>
              <w:t>emphasis between students</w:t>
            </w:r>
            <w:r w:rsidR="00EB6E30" w:rsidRPr="006C639F">
              <w:rPr>
                <w:rFonts w:eastAsia="Times New Roman" w:cs="Times New Roman"/>
                <w:color w:val="000000"/>
                <w:szCs w:val="24"/>
                <w:lang w:eastAsia="fi-FI"/>
              </w:rPr>
              <w:t xml:space="preserve">´ </w:t>
            </w:r>
            <w:r w:rsidR="005E4EA5">
              <w:rPr>
                <w:rFonts w:eastAsia="Times New Roman" w:cs="Times New Roman"/>
                <w:color w:val="000000"/>
                <w:szCs w:val="24"/>
                <w:lang w:eastAsia="fi-FI"/>
              </w:rPr>
              <w:t>dis</w:t>
            </w:r>
            <w:r w:rsidR="00EB6E30">
              <w:rPr>
                <w:rFonts w:eastAsia="Times New Roman" w:cs="Times New Roman"/>
                <w:color w:val="000000"/>
                <w:szCs w:val="24"/>
                <w:lang w:eastAsia="fi-FI"/>
              </w:rPr>
              <w:t xml:space="preserve">engaging </w:t>
            </w:r>
            <w:r w:rsidR="005E4EA5">
              <w:rPr>
                <w:rFonts w:eastAsia="Times New Roman" w:cs="Times New Roman"/>
                <w:color w:val="000000"/>
                <w:szCs w:val="24"/>
                <w:lang w:eastAsia="fi-FI"/>
              </w:rPr>
              <w:t>negative</w:t>
            </w:r>
            <w:r w:rsidR="00EB6E30">
              <w:rPr>
                <w:rFonts w:eastAsia="Times New Roman" w:cs="Times New Roman"/>
                <w:color w:val="000000"/>
                <w:szCs w:val="24"/>
                <w:lang w:eastAsia="fi-FI"/>
              </w:rPr>
              <w:t xml:space="preserve"> </w:t>
            </w:r>
            <w:r w:rsidR="00EB6E30" w:rsidRPr="006C639F">
              <w:rPr>
                <w:rFonts w:eastAsia="Times New Roman" w:cs="Times New Roman"/>
                <w:color w:val="000000"/>
                <w:szCs w:val="24"/>
                <w:lang w:eastAsia="fi-FI"/>
              </w:rPr>
              <w:t>school experiences</w:t>
            </w:r>
            <w:r w:rsidR="00EB6E30">
              <w:rPr>
                <w:rFonts w:eastAsia="Times New Roman" w:cs="Times New Roman"/>
                <w:color w:val="000000"/>
                <w:szCs w:val="24"/>
                <w:lang w:eastAsia="fi-FI"/>
              </w:rPr>
              <w:t xml:space="preserve"> in peer interaction, student</w:t>
            </w:r>
            <w:r w:rsidR="00EB6E30" w:rsidRPr="006C639F">
              <w:rPr>
                <w:rFonts w:eastAsia="Times New Roman" w:cs="Times New Roman"/>
                <w:bCs/>
                <w:color w:val="000000"/>
                <w:szCs w:val="24"/>
                <w:lang w:eastAsia="fi-FI"/>
              </w:rPr>
              <w:t>– t</w:t>
            </w:r>
            <w:r w:rsidR="00EB6E30">
              <w:rPr>
                <w:rFonts w:eastAsia="Times New Roman" w:cs="Times New Roman"/>
                <w:bCs/>
                <w:color w:val="000000"/>
                <w:szCs w:val="24"/>
                <w:lang w:eastAsia="fi-FI"/>
              </w:rPr>
              <w:t>eacher interaction and studying</w:t>
            </w:r>
            <w:r w:rsidR="00EB6E30" w:rsidRPr="006C639F">
              <w:rPr>
                <w:rFonts w:eastAsia="Times New Roman" w:cs="Times New Roman"/>
                <w:color w:val="000000"/>
                <w:szCs w:val="24"/>
                <w:lang w:eastAsia="fi-FI"/>
              </w:rPr>
              <w:t xml:space="preserve"> </w:t>
            </w:r>
          </w:p>
        </w:tc>
      </w:tr>
      <w:tr w:rsidR="00C13861" w:rsidRPr="006C639F" w14:paraId="6F797619" w14:textId="77777777" w:rsidTr="00134C8C">
        <w:trPr>
          <w:trHeight w:val="330"/>
        </w:trPr>
        <w:tc>
          <w:tcPr>
            <w:tcW w:w="5245" w:type="dxa"/>
            <w:tcBorders>
              <w:top w:val="nil"/>
              <w:left w:val="nil"/>
              <w:bottom w:val="single" w:sz="8" w:space="0" w:color="auto"/>
              <w:right w:val="nil"/>
            </w:tcBorders>
            <w:shd w:val="clear" w:color="auto" w:fill="auto"/>
            <w:noWrap/>
            <w:vAlign w:val="center"/>
            <w:hideMark/>
          </w:tcPr>
          <w:p w14:paraId="035E68D3" w14:textId="77777777" w:rsidR="00C13861" w:rsidRPr="006C639F" w:rsidRDefault="00C13861" w:rsidP="00134C8C">
            <w:pPr>
              <w:ind w:firstLine="0"/>
              <w:rPr>
                <w:rFonts w:eastAsia="Times New Roman" w:cs="Times New Roman"/>
                <w:color w:val="000000"/>
                <w:szCs w:val="24"/>
                <w:lang w:eastAsia="fi-FI"/>
              </w:rPr>
            </w:pPr>
            <w:r w:rsidRPr="006C639F">
              <w:rPr>
                <w:rFonts w:eastAsia="Times New Roman" w:cs="Times New Roman"/>
                <w:color w:val="000000"/>
                <w:szCs w:val="24"/>
                <w:lang w:eastAsia="fi-FI"/>
              </w:rPr>
              <w:t> </w:t>
            </w:r>
          </w:p>
        </w:tc>
        <w:tc>
          <w:tcPr>
            <w:tcW w:w="1276" w:type="dxa"/>
            <w:tcBorders>
              <w:top w:val="nil"/>
              <w:left w:val="nil"/>
              <w:bottom w:val="single" w:sz="8" w:space="0" w:color="auto"/>
              <w:right w:val="nil"/>
            </w:tcBorders>
            <w:shd w:val="clear" w:color="auto" w:fill="auto"/>
            <w:noWrap/>
            <w:vAlign w:val="center"/>
            <w:hideMark/>
          </w:tcPr>
          <w:p w14:paraId="57E81422"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Group A*</w:t>
            </w:r>
          </w:p>
        </w:tc>
        <w:tc>
          <w:tcPr>
            <w:tcW w:w="1417" w:type="dxa"/>
            <w:tcBorders>
              <w:top w:val="nil"/>
              <w:left w:val="nil"/>
              <w:bottom w:val="single" w:sz="8" w:space="0" w:color="auto"/>
              <w:right w:val="nil"/>
            </w:tcBorders>
            <w:shd w:val="clear" w:color="auto" w:fill="auto"/>
            <w:noWrap/>
            <w:vAlign w:val="center"/>
            <w:hideMark/>
          </w:tcPr>
          <w:p w14:paraId="7D594001"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Group B**</w:t>
            </w:r>
          </w:p>
        </w:tc>
        <w:tc>
          <w:tcPr>
            <w:tcW w:w="977" w:type="dxa"/>
            <w:tcBorders>
              <w:top w:val="nil"/>
              <w:left w:val="nil"/>
              <w:bottom w:val="single" w:sz="8" w:space="0" w:color="auto"/>
              <w:right w:val="nil"/>
            </w:tcBorders>
            <w:shd w:val="clear" w:color="auto" w:fill="auto"/>
            <w:noWrap/>
            <w:vAlign w:val="center"/>
            <w:hideMark/>
          </w:tcPr>
          <w:p w14:paraId="63F95687"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Total</w:t>
            </w:r>
          </w:p>
        </w:tc>
      </w:tr>
      <w:tr w:rsidR="00C13861" w:rsidRPr="006C639F" w14:paraId="4CE67E42" w14:textId="77777777" w:rsidTr="00134C8C">
        <w:trPr>
          <w:trHeight w:val="630"/>
        </w:trPr>
        <w:tc>
          <w:tcPr>
            <w:tcW w:w="5245" w:type="dxa"/>
            <w:tcBorders>
              <w:top w:val="nil"/>
              <w:left w:val="nil"/>
              <w:bottom w:val="nil"/>
              <w:right w:val="nil"/>
            </w:tcBorders>
            <w:shd w:val="clear" w:color="auto" w:fill="auto"/>
            <w:vAlign w:val="center"/>
            <w:hideMark/>
          </w:tcPr>
          <w:p w14:paraId="21B47CFE" w14:textId="77777777" w:rsidR="00C13861" w:rsidRPr="006C639F" w:rsidRDefault="00C13861" w:rsidP="00134C8C">
            <w:pPr>
              <w:ind w:firstLine="0"/>
              <w:rPr>
                <w:rFonts w:eastAsia="Times New Roman" w:cs="Times New Roman"/>
                <w:color w:val="000000"/>
                <w:szCs w:val="24"/>
                <w:lang w:eastAsia="fi-FI"/>
              </w:rPr>
            </w:pPr>
            <w:r w:rsidRPr="006C639F">
              <w:rPr>
                <w:rFonts w:eastAsia="Times New Roman" w:cs="Times New Roman"/>
                <w:color w:val="000000"/>
                <w:szCs w:val="24"/>
                <w:lang w:val="en-GB" w:eastAsia="fi-FI"/>
              </w:rPr>
              <w:t>Emotionally disengaging peer interaction (n)</w:t>
            </w:r>
          </w:p>
        </w:tc>
        <w:tc>
          <w:tcPr>
            <w:tcW w:w="1276" w:type="dxa"/>
            <w:tcBorders>
              <w:top w:val="nil"/>
              <w:left w:val="nil"/>
              <w:bottom w:val="nil"/>
              <w:right w:val="nil"/>
            </w:tcBorders>
            <w:shd w:val="clear" w:color="auto" w:fill="auto"/>
            <w:noWrap/>
            <w:vAlign w:val="center"/>
            <w:hideMark/>
          </w:tcPr>
          <w:p w14:paraId="242BE2EF"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11</w:t>
            </w:r>
          </w:p>
        </w:tc>
        <w:tc>
          <w:tcPr>
            <w:tcW w:w="1417" w:type="dxa"/>
            <w:tcBorders>
              <w:top w:val="nil"/>
              <w:left w:val="nil"/>
              <w:bottom w:val="nil"/>
              <w:right w:val="nil"/>
            </w:tcBorders>
            <w:shd w:val="clear" w:color="auto" w:fill="auto"/>
            <w:noWrap/>
            <w:vAlign w:val="center"/>
            <w:hideMark/>
          </w:tcPr>
          <w:p w14:paraId="42ADA951"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36</w:t>
            </w:r>
          </w:p>
        </w:tc>
        <w:tc>
          <w:tcPr>
            <w:tcW w:w="977" w:type="dxa"/>
            <w:tcBorders>
              <w:top w:val="nil"/>
              <w:left w:val="nil"/>
              <w:bottom w:val="nil"/>
              <w:right w:val="nil"/>
            </w:tcBorders>
            <w:shd w:val="clear" w:color="auto" w:fill="auto"/>
            <w:noWrap/>
            <w:vAlign w:val="center"/>
            <w:hideMark/>
          </w:tcPr>
          <w:p w14:paraId="1B454EA3"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47</w:t>
            </w:r>
          </w:p>
        </w:tc>
      </w:tr>
      <w:tr w:rsidR="00C13861" w:rsidRPr="006C639F" w14:paraId="7B88386A" w14:textId="77777777" w:rsidTr="00134C8C">
        <w:trPr>
          <w:trHeight w:val="315"/>
        </w:trPr>
        <w:tc>
          <w:tcPr>
            <w:tcW w:w="5245" w:type="dxa"/>
            <w:tcBorders>
              <w:top w:val="nil"/>
              <w:left w:val="nil"/>
              <w:bottom w:val="nil"/>
              <w:right w:val="nil"/>
            </w:tcBorders>
            <w:shd w:val="clear" w:color="auto" w:fill="auto"/>
            <w:vAlign w:val="bottom"/>
            <w:hideMark/>
          </w:tcPr>
          <w:p w14:paraId="418688E9" w14:textId="77777777" w:rsidR="00C13861" w:rsidRPr="006C639F" w:rsidRDefault="00C13861"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613F31CD"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23 %</w:t>
            </w:r>
          </w:p>
        </w:tc>
        <w:tc>
          <w:tcPr>
            <w:tcW w:w="1417" w:type="dxa"/>
            <w:tcBorders>
              <w:top w:val="nil"/>
              <w:left w:val="nil"/>
              <w:bottom w:val="nil"/>
              <w:right w:val="nil"/>
            </w:tcBorders>
            <w:shd w:val="clear" w:color="auto" w:fill="auto"/>
            <w:noWrap/>
            <w:vAlign w:val="center"/>
            <w:hideMark/>
          </w:tcPr>
          <w:p w14:paraId="50667989"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77 %</w:t>
            </w:r>
          </w:p>
        </w:tc>
        <w:tc>
          <w:tcPr>
            <w:tcW w:w="977" w:type="dxa"/>
            <w:tcBorders>
              <w:top w:val="nil"/>
              <w:left w:val="nil"/>
              <w:bottom w:val="nil"/>
              <w:right w:val="nil"/>
            </w:tcBorders>
            <w:shd w:val="clear" w:color="auto" w:fill="auto"/>
            <w:noWrap/>
            <w:vAlign w:val="center"/>
            <w:hideMark/>
          </w:tcPr>
          <w:p w14:paraId="06516479" w14:textId="77777777" w:rsidR="00C13861" w:rsidRPr="006C639F" w:rsidRDefault="009C5E2D" w:rsidP="00134C8C">
            <w:pPr>
              <w:ind w:firstLine="0"/>
              <w:rPr>
                <w:rFonts w:eastAsia="Times New Roman" w:cs="Times New Roman"/>
                <w:color w:val="000000"/>
                <w:szCs w:val="24"/>
                <w:lang w:val="fi-FI" w:eastAsia="fi-FI"/>
              </w:rPr>
            </w:pPr>
            <w:r>
              <w:rPr>
                <w:rFonts w:eastAsia="Times New Roman" w:cs="Times New Roman"/>
                <w:color w:val="000000"/>
                <w:szCs w:val="24"/>
                <w:lang w:val="fi-FI" w:eastAsia="fi-FI"/>
              </w:rPr>
              <w:t>100%</w:t>
            </w:r>
          </w:p>
        </w:tc>
      </w:tr>
      <w:tr w:rsidR="00C13861" w:rsidRPr="006C639F" w14:paraId="27C6BA76" w14:textId="77777777" w:rsidTr="00134C8C">
        <w:trPr>
          <w:trHeight w:val="315"/>
        </w:trPr>
        <w:tc>
          <w:tcPr>
            <w:tcW w:w="5245" w:type="dxa"/>
            <w:tcBorders>
              <w:top w:val="nil"/>
              <w:left w:val="nil"/>
              <w:bottom w:val="nil"/>
              <w:right w:val="nil"/>
            </w:tcBorders>
            <w:shd w:val="clear" w:color="auto" w:fill="auto"/>
            <w:vAlign w:val="bottom"/>
            <w:hideMark/>
          </w:tcPr>
          <w:p w14:paraId="33E93F22" w14:textId="77777777" w:rsidR="00C13861" w:rsidRPr="006C639F" w:rsidRDefault="00C13861"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1627C250" w14:textId="77777777" w:rsidR="00C13861" w:rsidRPr="006C639F" w:rsidRDefault="00C13861" w:rsidP="00134C8C">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center"/>
            <w:hideMark/>
          </w:tcPr>
          <w:p w14:paraId="0E562B11" w14:textId="77777777" w:rsidR="00C13861" w:rsidRPr="006C639F" w:rsidRDefault="00C13861" w:rsidP="00134C8C">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1ABEE0E7" w14:textId="77777777" w:rsidR="00C13861" w:rsidRPr="006C639F" w:rsidRDefault="00C13861" w:rsidP="00134C8C">
            <w:pPr>
              <w:ind w:firstLine="0"/>
              <w:rPr>
                <w:rFonts w:eastAsia="Times New Roman" w:cs="Times New Roman"/>
                <w:color w:val="000000"/>
                <w:szCs w:val="24"/>
                <w:lang w:val="fi-FI" w:eastAsia="fi-FI"/>
              </w:rPr>
            </w:pPr>
          </w:p>
        </w:tc>
      </w:tr>
      <w:tr w:rsidR="00C13861" w:rsidRPr="006C639F" w14:paraId="0A8FFB31" w14:textId="77777777" w:rsidTr="00134C8C">
        <w:trPr>
          <w:trHeight w:val="945"/>
        </w:trPr>
        <w:tc>
          <w:tcPr>
            <w:tcW w:w="5245" w:type="dxa"/>
            <w:tcBorders>
              <w:top w:val="nil"/>
              <w:left w:val="nil"/>
              <w:bottom w:val="nil"/>
              <w:right w:val="nil"/>
            </w:tcBorders>
            <w:shd w:val="clear" w:color="auto" w:fill="auto"/>
            <w:vAlign w:val="center"/>
            <w:hideMark/>
          </w:tcPr>
          <w:p w14:paraId="0DEC11B8" w14:textId="77777777" w:rsidR="00C13861" w:rsidRPr="006C639F" w:rsidRDefault="00C13861" w:rsidP="00134C8C">
            <w:pPr>
              <w:ind w:firstLine="0"/>
              <w:rPr>
                <w:rFonts w:eastAsia="Times New Roman" w:cs="Times New Roman"/>
                <w:color w:val="000000"/>
                <w:szCs w:val="24"/>
                <w:lang w:eastAsia="fi-FI"/>
              </w:rPr>
            </w:pPr>
            <w:r w:rsidRPr="006C639F">
              <w:rPr>
                <w:rFonts w:eastAsia="Times New Roman" w:cs="Times New Roman"/>
                <w:color w:val="000000"/>
                <w:szCs w:val="24"/>
                <w:lang w:eastAsia="fi-FI"/>
              </w:rPr>
              <w:t>Emotionally disengaging student– teacher interaction (n)</w:t>
            </w:r>
          </w:p>
        </w:tc>
        <w:tc>
          <w:tcPr>
            <w:tcW w:w="1276" w:type="dxa"/>
            <w:tcBorders>
              <w:top w:val="nil"/>
              <w:left w:val="nil"/>
              <w:bottom w:val="nil"/>
              <w:right w:val="nil"/>
            </w:tcBorders>
            <w:shd w:val="clear" w:color="auto" w:fill="auto"/>
            <w:noWrap/>
            <w:vAlign w:val="center"/>
            <w:hideMark/>
          </w:tcPr>
          <w:p w14:paraId="347072F2"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w:t>
            </w:r>
          </w:p>
        </w:tc>
        <w:tc>
          <w:tcPr>
            <w:tcW w:w="1417" w:type="dxa"/>
            <w:tcBorders>
              <w:top w:val="nil"/>
              <w:left w:val="nil"/>
              <w:bottom w:val="nil"/>
              <w:right w:val="nil"/>
            </w:tcBorders>
            <w:shd w:val="clear" w:color="auto" w:fill="auto"/>
            <w:noWrap/>
            <w:vAlign w:val="center"/>
            <w:hideMark/>
          </w:tcPr>
          <w:p w14:paraId="58F6831B"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20</w:t>
            </w:r>
          </w:p>
        </w:tc>
        <w:tc>
          <w:tcPr>
            <w:tcW w:w="977" w:type="dxa"/>
            <w:tcBorders>
              <w:top w:val="nil"/>
              <w:left w:val="nil"/>
              <w:bottom w:val="nil"/>
              <w:right w:val="nil"/>
            </w:tcBorders>
            <w:shd w:val="clear" w:color="auto" w:fill="auto"/>
            <w:noWrap/>
            <w:vAlign w:val="center"/>
            <w:hideMark/>
          </w:tcPr>
          <w:p w14:paraId="041090CF"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22</w:t>
            </w:r>
          </w:p>
        </w:tc>
      </w:tr>
      <w:tr w:rsidR="00C13861" w:rsidRPr="006C639F" w14:paraId="55C1FE02" w14:textId="77777777" w:rsidTr="00134C8C">
        <w:trPr>
          <w:trHeight w:val="315"/>
        </w:trPr>
        <w:tc>
          <w:tcPr>
            <w:tcW w:w="5245" w:type="dxa"/>
            <w:tcBorders>
              <w:top w:val="nil"/>
              <w:left w:val="nil"/>
              <w:bottom w:val="nil"/>
              <w:right w:val="nil"/>
            </w:tcBorders>
            <w:shd w:val="clear" w:color="auto" w:fill="auto"/>
            <w:vAlign w:val="bottom"/>
            <w:hideMark/>
          </w:tcPr>
          <w:p w14:paraId="50A43DCC" w14:textId="77777777" w:rsidR="00C13861" w:rsidRPr="006C639F" w:rsidRDefault="00C13861"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47E3A163"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9 %</w:t>
            </w:r>
          </w:p>
        </w:tc>
        <w:tc>
          <w:tcPr>
            <w:tcW w:w="1417" w:type="dxa"/>
            <w:tcBorders>
              <w:top w:val="nil"/>
              <w:left w:val="nil"/>
              <w:bottom w:val="nil"/>
              <w:right w:val="nil"/>
            </w:tcBorders>
            <w:shd w:val="clear" w:color="auto" w:fill="auto"/>
            <w:noWrap/>
            <w:vAlign w:val="center"/>
            <w:hideMark/>
          </w:tcPr>
          <w:p w14:paraId="02B32A7C"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91 %</w:t>
            </w:r>
          </w:p>
        </w:tc>
        <w:tc>
          <w:tcPr>
            <w:tcW w:w="977" w:type="dxa"/>
            <w:tcBorders>
              <w:top w:val="nil"/>
              <w:left w:val="nil"/>
              <w:bottom w:val="nil"/>
              <w:right w:val="nil"/>
            </w:tcBorders>
            <w:shd w:val="clear" w:color="auto" w:fill="auto"/>
            <w:noWrap/>
            <w:vAlign w:val="center"/>
            <w:hideMark/>
          </w:tcPr>
          <w:p w14:paraId="2E719085" w14:textId="77777777" w:rsidR="00C13861" w:rsidRPr="006C639F" w:rsidRDefault="009C5E2D" w:rsidP="00134C8C">
            <w:pPr>
              <w:ind w:firstLine="0"/>
              <w:rPr>
                <w:rFonts w:eastAsia="Times New Roman" w:cs="Times New Roman"/>
                <w:color w:val="000000"/>
                <w:szCs w:val="24"/>
                <w:lang w:val="fi-FI" w:eastAsia="fi-FI"/>
              </w:rPr>
            </w:pPr>
            <w:r>
              <w:rPr>
                <w:rFonts w:eastAsia="Times New Roman" w:cs="Times New Roman"/>
                <w:color w:val="000000"/>
                <w:szCs w:val="24"/>
                <w:lang w:val="fi-FI" w:eastAsia="fi-FI"/>
              </w:rPr>
              <w:t>100%</w:t>
            </w:r>
          </w:p>
        </w:tc>
      </w:tr>
      <w:tr w:rsidR="00C13861" w:rsidRPr="006C639F" w14:paraId="1E7881B7" w14:textId="77777777" w:rsidTr="00134C8C">
        <w:trPr>
          <w:trHeight w:val="315"/>
        </w:trPr>
        <w:tc>
          <w:tcPr>
            <w:tcW w:w="5245" w:type="dxa"/>
            <w:tcBorders>
              <w:top w:val="nil"/>
              <w:left w:val="nil"/>
              <w:bottom w:val="nil"/>
              <w:right w:val="nil"/>
            </w:tcBorders>
            <w:shd w:val="clear" w:color="auto" w:fill="auto"/>
            <w:vAlign w:val="bottom"/>
            <w:hideMark/>
          </w:tcPr>
          <w:p w14:paraId="0E3A6C58" w14:textId="77777777" w:rsidR="00C13861" w:rsidRPr="006C639F" w:rsidRDefault="00C13861"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725B28BC" w14:textId="77777777" w:rsidR="00C13861" w:rsidRPr="006C639F" w:rsidRDefault="00C13861" w:rsidP="00134C8C">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center"/>
            <w:hideMark/>
          </w:tcPr>
          <w:p w14:paraId="2E369A0D" w14:textId="77777777" w:rsidR="00C13861" w:rsidRPr="006C639F" w:rsidRDefault="00C13861" w:rsidP="00134C8C">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7FC0B1F8" w14:textId="77777777" w:rsidR="00C13861" w:rsidRPr="006C639F" w:rsidRDefault="00C13861" w:rsidP="00134C8C">
            <w:pPr>
              <w:ind w:firstLine="0"/>
              <w:rPr>
                <w:rFonts w:eastAsia="Times New Roman" w:cs="Times New Roman"/>
                <w:color w:val="000000"/>
                <w:szCs w:val="24"/>
                <w:lang w:val="fi-FI" w:eastAsia="fi-FI"/>
              </w:rPr>
            </w:pPr>
          </w:p>
        </w:tc>
      </w:tr>
      <w:tr w:rsidR="00C13861" w:rsidRPr="006C639F" w14:paraId="48EE3919" w14:textId="77777777" w:rsidTr="00134C8C">
        <w:trPr>
          <w:trHeight w:val="630"/>
        </w:trPr>
        <w:tc>
          <w:tcPr>
            <w:tcW w:w="5245" w:type="dxa"/>
            <w:tcBorders>
              <w:top w:val="nil"/>
              <w:left w:val="nil"/>
              <w:bottom w:val="nil"/>
              <w:right w:val="nil"/>
            </w:tcBorders>
            <w:shd w:val="clear" w:color="auto" w:fill="auto"/>
            <w:vAlign w:val="center"/>
            <w:hideMark/>
          </w:tcPr>
          <w:p w14:paraId="1014FE75"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Cognitively disengaging studying (n)</w:t>
            </w:r>
          </w:p>
        </w:tc>
        <w:tc>
          <w:tcPr>
            <w:tcW w:w="1276" w:type="dxa"/>
            <w:tcBorders>
              <w:top w:val="nil"/>
              <w:left w:val="nil"/>
              <w:bottom w:val="nil"/>
              <w:right w:val="nil"/>
            </w:tcBorders>
            <w:shd w:val="clear" w:color="auto" w:fill="auto"/>
            <w:noWrap/>
            <w:vAlign w:val="center"/>
            <w:hideMark/>
          </w:tcPr>
          <w:p w14:paraId="10729218"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2</w:t>
            </w:r>
          </w:p>
        </w:tc>
        <w:tc>
          <w:tcPr>
            <w:tcW w:w="1417" w:type="dxa"/>
            <w:tcBorders>
              <w:top w:val="nil"/>
              <w:left w:val="nil"/>
              <w:bottom w:val="nil"/>
              <w:right w:val="nil"/>
            </w:tcBorders>
            <w:shd w:val="clear" w:color="auto" w:fill="auto"/>
            <w:noWrap/>
            <w:vAlign w:val="center"/>
            <w:hideMark/>
          </w:tcPr>
          <w:p w14:paraId="165B500E"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11</w:t>
            </w:r>
          </w:p>
        </w:tc>
        <w:tc>
          <w:tcPr>
            <w:tcW w:w="977" w:type="dxa"/>
            <w:tcBorders>
              <w:top w:val="nil"/>
              <w:left w:val="nil"/>
              <w:bottom w:val="nil"/>
              <w:right w:val="nil"/>
            </w:tcBorders>
            <w:shd w:val="clear" w:color="auto" w:fill="auto"/>
            <w:noWrap/>
            <w:vAlign w:val="center"/>
            <w:hideMark/>
          </w:tcPr>
          <w:p w14:paraId="481AD871"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13</w:t>
            </w:r>
          </w:p>
        </w:tc>
      </w:tr>
      <w:tr w:rsidR="00C13861" w:rsidRPr="006C639F" w14:paraId="5D48B3B4" w14:textId="77777777" w:rsidTr="00134C8C">
        <w:trPr>
          <w:trHeight w:val="315"/>
        </w:trPr>
        <w:tc>
          <w:tcPr>
            <w:tcW w:w="5245" w:type="dxa"/>
            <w:tcBorders>
              <w:top w:val="nil"/>
              <w:left w:val="nil"/>
              <w:bottom w:val="nil"/>
              <w:right w:val="nil"/>
            </w:tcBorders>
            <w:shd w:val="clear" w:color="auto" w:fill="auto"/>
            <w:vAlign w:val="bottom"/>
            <w:hideMark/>
          </w:tcPr>
          <w:p w14:paraId="761149F2" w14:textId="77777777" w:rsidR="00C13861" w:rsidRPr="006C639F" w:rsidRDefault="00C13861"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104ECF44"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15 %</w:t>
            </w:r>
          </w:p>
        </w:tc>
        <w:tc>
          <w:tcPr>
            <w:tcW w:w="1417" w:type="dxa"/>
            <w:tcBorders>
              <w:top w:val="nil"/>
              <w:left w:val="nil"/>
              <w:bottom w:val="nil"/>
              <w:right w:val="nil"/>
            </w:tcBorders>
            <w:shd w:val="clear" w:color="auto" w:fill="auto"/>
            <w:noWrap/>
            <w:vAlign w:val="center"/>
            <w:hideMark/>
          </w:tcPr>
          <w:p w14:paraId="3A720B0B"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85 %</w:t>
            </w:r>
          </w:p>
        </w:tc>
        <w:tc>
          <w:tcPr>
            <w:tcW w:w="977" w:type="dxa"/>
            <w:tcBorders>
              <w:top w:val="nil"/>
              <w:left w:val="nil"/>
              <w:bottom w:val="nil"/>
              <w:right w:val="nil"/>
            </w:tcBorders>
            <w:shd w:val="clear" w:color="auto" w:fill="auto"/>
            <w:noWrap/>
            <w:vAlign w:val="center"/>
            <w:hideMark/>
          </w:tcPr>
          <w:p w14:paraId="441E6655" w14:textId="77777777" w:rsidR="00C13861" w:rsidRPr="006C639F" w:rsidRDefault="009C5E2D" w:rsidP="00134C8C">
            <w:pPr>
              <w:ind w:firstLine="0"/>
              <w:rPr>
                <w:rFonts w:eastAsia="Times New Roman" w:cs="Times New Roman"/>
                <w:color w:val="000000"/>
                <w:szCs w:val="24"/>
                <w:lang w:val="fi-FI" w:eastAsia="fi-FI"/>
              </w:rPr>
            </w:pPr>
            <w:r>
              <w:rPr>
                <w:rFonts w:eastAsia="Times New Roman" w:cs="Times New Roman"/>
                <w:color w:val="000000"/>
                <w:szCs w:val="24"/>
                <w:lang w:val="fi-FI" w:eastAsia="fi-FI"/>
              </w:rPr>
              <w:t>100%</w:t>
            </w:r>
          </w:p>
        </w:tc>
      </w:tr>
      <w:tr w:rsidR="00C13861" w:rsidRPr="006C639F" w14:paraId="4F87D8A3" w14:textId="77777777" w:rsidTr="00134C8C">
        <w:trPr>
          <w:trHeight w:val="315"/>
        </w:trPr>
        <w:tc>
          <w:tcPr>
            <w:tcW w:w="5245" w:type="dxa"/>
            <w:tcBorders>
              <w:top w:val="nil"/>
              <w:left w:val="nil"/>
              <w:bottom w:val="nil"/>
              <w:right w:val="nil"/>
            </w:tcBorders>
            <w:shd w:val="clear" w:color="auto" w:fill="auto"/>
            <w:vAlign w:val="bottom"/>
            <w:hideMark/>
          </w:tcPr>
          <w:p w14:paraId="4922DEA6" w14:textId="77777777" w:rsidR="00C13861" w:rsidRPr="006C639F" w:rsidRDefault="00C13861" w:rsidP="00134C8C">
            <w:pPr>
              <w:ind w:firstLine="0"/>
              <w:rPr>
                <w:rFonts w:eastAsia="Times New Roman" w:cs="Times New Roman"/>
                <w:color w:val="000000"/>
                <w:szCs w:val="24"/>
                <w:lang w:val="fi-FI" w:eastAsia="fi-FI"/>
              </w:rPr>
            </w:pPr>
          </w:p>
        </w:tc>
        <w:tc>
          <w:tcPr>
            <w:tcW w:w="1276" w:type="dxa"/>
            <w:tcBorders>
              <w:top w:val="nil"/>
              <w:left w:val="nil"/>
              <w:bottom w:val="nil"/>
              <w:right w:val="nil"/>
            </w:tcBorders>
            <w:shd w:val="clear" w:color="auto" w:fill="auto"/>
            <w:noWrap/>
            <w:vAlign w:val="center"/>
            <w:hideMark/>
          </w:tcPr>
          <w:p w14:paraId="59C47379" w14:textId="77777777" w:rsidR="00C13861" w:rsidRPr="006C639F" w:rsidRDefault="00C13861" w:rsidP="00134C8C">
            <w:pPr>
              <w:ind w:firstLine="0"/>
              <w:rPr>
                <w:rFonts w:eastAsia="Times New Roman" w:cs="Times New Roman"/>
                <w:color w:val="000000"/>
                <w:szCs w:val="24"/>
                <w:lang w:val="fi-FI" w:eastAsia="fi-FI"/>
              </w:rPr>
            </w:pPr>
          </w:p>
        </w:tc>
        <w:tc>
          <w:tcPr>
            <w:tcW w:w="1417" w:type="dxa"/>
            <w:tcBorders>
              <w:top w:val="nil"/>
              <w:left w:val="nil"/>
              <w:bottom w:val="nil"/>
              <w:right w:val="nil"/>
            </w:tcBorders>
            <w:shd w:val="clear" w:color="auto" w:fill="auto"/>
            <w:noWrap/>
            <w:vAlign w:val="center"/>
            <w:hideMark/>
          </w:tcPr>
          <w:p w14:paraId="608EDBBF" w14:textId="77777777" w:rsidR="00C13861" w:rsidRPr="006C639F" w:rsidRDefault="00C13861" w:rsidP="00134C8C">
            <w:pPr>
              <w:ind w:firstLine="0"/>
              <w:rPr>
                <w:rFonts w:eastAsia="Times New Roman" w:cs="Times New Roman"/>
                <w:color w:val="000000"/>
                <w:szCs w:val="24"/>
                <w:lang w:val="fi-FI" w:eastAsia="fi-FI"/>
              </w:rPr>
            </w:pPr>
          </w:p>
        </w:tc>
        <w:tc>
          <w:tcPr>
            <w:tcW w:w="977" w:type="dxa"/>
            <w:tcBorders>
              <w:top w:val="nil"/>
              <w:left w:val="nil"/>
              <w:bottom w:val="nil"/>
              <w:right w:val="nil"/>
            </w:tcBorders>
            <w:shd w:val="clear" w:color="auto" w:fill="auto"/>
            <w:noWrap/>
            <w:vAlign w:val="bottom"/>
            <w:hideMark/>
          </w:tcPr>
          <w:p w14:paraId="639112B7" w14:textId="77777777" w:rsidR="00C13861" w:rsidRPr="006C639F" w:rsidRDefault="00C13861" w:rsidP="00134C8C">
            <w:pPr>
              <w:ind w:firstLine="0"/>
              <w:rPr>
                <w:rFonts w:eastAsia="Times New Roman" w:cs="Times New Roman"/>
                <w:color w:val="000000"/>
                <w:szCs w:val="24"/>
                <w:lang w:val="fi-FI" w:eastAsia="fi-FI"/>
              </w:rPr>
            </w:pPr>
          </w:p>
        </w:tc>
      </w:tr>
      <w:tr w:rsidR="00C13861" w:rsidRPr="006C639F" w14:paraId="09270BB0" w14:textId="77777777" w:rsidTr="00134C8C">
        <w:trPr>
          <w:trHeight w:val="315"/>
        </w:trPr>
        <w:tc>
          <w:tcPr>
            <w:tcW w:w="5245" w:type="dxa"/>
            <w:tcBorders>
              <w:top w:val="nil"/>
              <w:left w:val="nil"/>
              <w:bottom w:val="nil"/>
              <w:right w:val="nil"/>
            </w:tcBorders>
            <w:shd w:val="clear" w:color="auto" w:fill="auto"/>
            <w:vAlign w:val="center"/>
            <w:hideMark/>
          </w:tcPr>
          <w:p w14:paraId="298EBD1C"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Total</w:t>
            </w:r>
          </w:p>
        </w:tc>
        <w:tc>
          <w:tcPr>
            <w:tcW w:w="1276" w:type="dxa"/>
            <w:tcBorders>
              <w:top w:val="nil"/>
              <w:left w:val="nil"/>
              <w:bottom w:val="nil"/>
              <w:right w:val="nil"/>
            </w:tcBorders>
            <w:shd w:val="clear" w:color="auto" w:fill="auto"/>
            <w:noWrap/>
            <w:vAlign w:val="center"/>
            <w:hideMark/>
          </w:tcPr>
          <w:p w14:paraId="63F9911E"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15</w:t>
            </w:r>
          </w:p>
        </w:tc>
        <w:tc>
          <w:tcPr>
            <w:tcW w:w="1417" w:type="dxa"/>
            <w:tcBorders>
              <w:top w:val="nil"/>
              <w:left w:val="nil"/>
              <w:bottom w:val="nil"/>
              <w:right w:val="nil"/>
            </w:tcBorders>
            <w:shd w:val="clear" w:color="auto" w:fill="auto"/>
            <w:noWrap/>
            <w:vAlign w:val="center"/>
            <w:hideMark/>
          </w:tcPr>
          <w:p w14:paraId="784123B5"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67</w:t>
            </w:r>
          </w:p>
        </w:tc>
        <w:tc>
          <w:tcPr>
            <w:tcW w:w="977" w:type="dxa"/>
            <w:tcBorders>
              <w:top w:val="nil"/>
              <w:left w:val="nil"/>
              <w:bottom w:val="nil"/>
              <w:right w:val="nil"/>
            </w:tcBorders>
            <w:shd w:val="clear" w:color="auto" w:fill="auto"/>
            <w:noWrap/>
            <w:vAlign w:val="center"/>
            <w:hideMark/>
          </w:tcPr>
          <w:p w14:paraId="7603C199"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82</w:t>
            </w:r>
          </w:p>
        </w:tc>
      </w:tr>
      <w:tr w:rsidR="00C13861" w:rsidRPr="006C639F" w14:paraId="4B796734" w14:textId="77777777" w:rsidTr="00134C8C">
        <w:trPr>
          <w:trHeight w:val="330"/>
        </w:trPr>
        <w:tc>
          <w:tcPr>
            <w:tcW w:w="5245" w:type="dxa"/>
            <w:tcBorders>
              <w:top w:val="nil"/>
              <w:left w:val="nil"/>
              <w:bottom w:val="single" w:sz="8" w:space="0" w:color="auto"/>
              <w:right w:val="nil"/>
            </w:tcBorders>
            <w:shd w:val="clear" w:color="auto" w:fill="auto"/>
            <w:vAlign w:val="center"/>
            <w:hideMark/>
          </w:tcPr>
          <w:p w14:paraId="39F81137"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eastAsia="fi-FI"/>
              </w:rPr>
              <w:t> </w:t>
            </w:r>
          </w:p>
        </w:tc>
        <w:tc>
          <w:tcPr>
            <w:tcW w:w="1276" w:type="dxa"/>
            <w:tcBorders>
              <w:top w:val="nil"/>
              <w:left w:val="nil"/>
              <w:bottom w:val="single" w:sz="8" w:space="0" w:color="auto"/>
              <w:right w:val="nil"/>
            </w:tcBorders>
            <w:shd w:val="clear" w:color="auto" w:fill="auto"/>
            <w:noWrap/>
            <w:vAlign w:val="center"/>
            <w:hideMark/>
          </w:tcPr>
          <w:p w14:paraId="7CB9403F" w14:textId="77777777" w:rsidR="00C13861" w:rsidRPr="006C639F" w:rsidRDefault="00C13861" w:rsidP="00134C8C">
            <w:pPr>
              <w:ind w:firstLine="0"/>
              <w:rPr>
                <w:rFonts w:eastAsia="Times New Roman" w:cs="Times New Roman"/>
                <w:color w:val="000000"/>
                <w:szCs w:val="24"/>
                <w:lang w:val="fi-FI" w:eastAsia="fi-FI"/>
              </w:rPr>
            </w:pPr>
          </w:p>
        </w:tc>
        <w:tc>
          <w:tcPr>
            <w:tcW w:w="1417" w:type="dxa"/>
            <w:tcBorders>
              <w:top w:val="nil"/>
              <w:left w:val="nil"/>
              <w:bottom w:val="single" w:sz="8" w:space="0" w:color="auto"/>
              <w:right w:val="nil"/>
            </w:tcBorders>
            <w:shd w:val="clear" w:color="auto" w:fill="auto"/>
            <w:noWrap/>
            <w:vAlign w:val="center"/>
            <w:hideMark/>
          </w:tcPr>
          <w:p w14:paraId="69E2A5D9" w14:textId="77777777" w:rsidR="00C13861" w:rsidRPr="006C639F" w:rsidRDefault="00C13861" w:rsidP="00134C8C">
            <w:pPr>
              <w:ind w:firstLine="0"/>
              <w:rPr>
                <w:rFonts w:eastAsia="Times New Roman" w:cs="Times New Roman"/>
                <w:color w:val="000000"/>
                <w:szCs w:val="24"/>
                <w:lang w:val="fi-FI" w:eastAsia="fi-FI"/>
              </w:rPr>
            </w:pPr>
          </w:p>
        </w:tc>
        <w:tc>
          <w:tcPr>
            <w:tcW w:w="977" w:type="dxa"/>
            <w:tcBorders>
              <w:top w:val="nil"/>
              <w:left w:val="nil"/>
              <w:bottom w:val="single" w:sz="8" w:space="0" w:color="auto"/>
              <w:right w:val="nil"/>
            </w:tcBorders>
            <w:shd w:val="clear" w:color="auto" w:fill="auto"/>
            <w:noWrap/>
            <w:vAlign w:val="center"/>
            <w:hideMark/>
          </w:tcPr>
          <w:p w14:paraId="37016481" w14:textId="77777777" w:rsidR="00C13861" w:rsidRPr="006C639F" w:rsidRDefault="00C13861" w:rsidP="00134C8C">
            <w:pPr>
              <w:ind w:firstLine="0"/>
              <w:rPr>
                <w:rFonts w:eastAsia="Times New Roman" w:cs="Times New Roman"/>
                <w:color w:val="000000"/>
                <w:szCs w:val="24"/>
                <w:lang w:val="fi-FI" w:eastAsia="fi-FI"/>
              </w:rPr>
            </w:pPr>
            <w:r w:rsidRPr="006C639F">
              <w:rPr>
                <w:rFonts w:eastAsia="Times New Roman" w:cs="Times New Roman"/>
                <w:color w:val="000000"/>
                <w:szCs w:val="24"/>
                <w:lang w:val="fi-FI" w:eastAsia="fi-FI"/>
              </w:rPr>
              <w:t> </w:t>
            </w:r>
          </w:p>
        </w:tc>
      </w:tr>
    </w:tbl>
    <w:p w14:paraId="0B791487" w14:textId="77777777" w:rsidR="00C13861" w:rsidRDefault="00C13861" w:rsidP="00C13861">
      <w:pPr>
        <w:ind w:firstLine="0"/>
        <w:rPr>
          <w:rFonts w:cs="Times New Roman"/>
          <w:i/>
          <w:szCs w:val="24"/>
        </w:rPr>
      </w:pPr>
    </w:p>
    <w:p w14:paraId="3F154254" w14:textId="77777777" w:rsidR="00C13861" w:rsidRDefault="00C13861" w:rsidP="00C13861">
      <w:pPr>
        <w:ind w:firstLine="0"/>
        <w:rPr>
          <w:rFonts w:cs="Times New Roman"/>
          <w:i/>
          <w:szCs w:val="24"/>
        </w:rPr>
      </w:pPr>
      <w:r w:rsidRPr="007F68D7">
        <w:rPr>
          <w:rFonts w:cs="Times New Roman"/>
          <w:i/>
          <w:szCs w:val="24"/>
        </w:rPr>
        <w:t>Note:</w:t>
      </w:r>
      <w:r>
        <w:rPr>
          <w:rFonts w:cs="Times New Roman"/>
          <w:i/>
          <w:szCs w:val="24"/>
        </w:rPr>
        <w:t xml:space="preserve"> </w:t>
      </w:r>
      <w:r w:rsidRPr="007F68D7">
        <w:rPr>
          <w:rFonts w:cs="Times New Roman"/>
          <w:i/>
          <w:szCs w:val="24"/>
        </w:rPr>
        <w:t>*</w:t>
      </w:r>
      <w:r w:rsidRPr="007F68D7">
        <w:rPr>
          <w:rFonts w:cs="Times New Roman"/>
          <w:szCs w:val="24"/>
        </w:rPr>
        <w:t>Students with special needs **Students attending general education</w:t>
      </w:r>
      <w:r>
        <w:t xml:space="preserve">                                         </w:t>
      </w:r>
    </w:p>
    <w:p w14:paraId="2D9E6EB4" w14:textId="77777777" w:rsidR="00FB091E" w:rsidRDefault="00AC28B8" w:rsidP="003652F5">
      <w:pPr>
        <w:ind w:firstLine="0"/>
      </w:pPr>
      <w:r w:rsidRPr="0023783C">
        <w:lastRenderedPageBreak/>
        <w:t xml:space="preserve">engagement both in positive and negative school experiences. </w:t>
      </w:r>
      <w:r w:rsidR="00CD7072" w:rsidRPr="0023783C">
        <w:t>Both students with special needs and general education students emphasized the importance of having friends, social skills, and a good class spirit</w:t>
      </w:r>
      <w:r w:rsidR="00F56ED6" w:rsidRPr="0023783C">
        <w:t>,</w:t>
      </w:r>
      <w:r w:rsidR="00CD7072" w:rsidRPr="0023783C">
        <w:t xml:space="preserve"> as well as participating in common events within and outside school and obtaining good grades</w:t>
      </w:r>
      <w:r w:rsidR="00F56ED6" w:rsidRPr="0023783C">
        <w:t>,</w:t>
      </w:r>
      <w:r w:rsidR="00CD7072" w:rsidRPr="0023783C">
        <w:t xml:space="preserve"> as positive sources for their school engagement</w:t>
      </w:r>
      <w:r w:rsidR="00BF26C2" w:rsidRPr="0023783C">
        <w:t xml:space="preserve">. </w:t>
      </w:r>
      <w:r w:rsidR="00F56ED6" w:rsidRPr="0023783C">
        <w:t>N</w:t>
      </w:r>
      <w:r w:rsidR="00CD7072" w:rsidRPr="0023783C">
        <w:t>egative school experiences</w:t>
      </w:r>
      <w:r w:rsidR="00F56ED6" w:rsidRPr="0023783C">
        <w:t>,</w:t>
      </w:r>
      <w:r w:rsidR="00BF26C2" w:rsidRPr="0023783C">
        <w:t xml:space="preserve"> reducing school engagement</w:t>
      </w:r>
      <w:r w:rsidR="00CD7072" w:rsidRPr="0023783C">
        <w:t xml:space="preserve">, mostly concerned social conflicts, bad relationships with peers and teachers, negative experiences of not being able to do well </w:t>
      </w:r>
      <w:r w:rsidR="00F56ED6" w:rsidRPr="0023783C">
        <w:t>i</w:t>
      </w:r>
      <w:r w:rsidR="00CD7072" w:rsidRPr="0023783C">
        <w:t>n exams, and negative attitudes toward homework. Few of the students’ experiences related to a commitment to learning in the sense of having fun learning new things.</w:t>
      </w:r>
    </w:p>
    <w:p w14:paraId="3209AF3B" w14:textId="77777777" w:rsidR="00FB091E" w:rsidRDefault="00CD7072" w:rsidP="003652F5">
      <w:r w:rsidRPr="0023783C">
        <w:t xml:space="preserve">Moreover, the critical incidents of school engagement reported by the students occurred throughout their school career in the primary school. </w:t>
      </w:r>
      <w:r w:rsidR="00C05065">
        <w:t>Yet</w:t>
      </w:r>
      <w:r w:rsidRPr="0023783C">
        <w:t>, students consistently</w:t>
      </w:r>
      <w:r w:rsidR="00034A9F" w:rsidRPr="0023783C">
        <w:t xml:space="preserve"> </w:t>
      </w:r>
      <w:r w:rsidR="00F56ED6" w:rsidRPr="0023783C">
        <w:t xml:space="preserve">reported </w:t>
      </w:r>
      <w:r w:rsidR="00034A9F" w:rsidRPr="0023783C">
        <w:t xml:space="preserve">twice </w:t>
      </w:r>
      <w:r w:rsidRPr="0023783C">
        <w:t xml:space="preserve">as </w:t>
      </w:r>
      <w:r w:rsidR="00F56ED6" w:rsidRPr="0023783C">
        <w:t xml:space="preserve">many </w:t>
      </w:r>
      <w:r w:rsidRPr="0023783C">
        <w:t xml:space="preserve">positive </w:t>
      </w:r>
      <w:r w:rsidR="00F56ED6" w:rsidRPr="0023783C">
        <w:t xml:space="preserve">as </w:t>
      </w:r>
      <w:r w:rsidRPr="0023783C">
        <w:t xml:space="preserve">negative episodes </w:t>
      </w:r>
      <w:r w:rsidR="00F56ED6" w:rsidRPr="0023783C">
        <w:t xml:space="preserve">in </w:t>
      </w:r>
      <w:r w:rsidRPr="0023783C">
        <w:t xml:space="preserve">almost </w:t>
      </w:r>
      <w:r w:rsidR="00F56ED6" w:rsidRPr="0023783C">
        <w:t>every</w:t>
      </w:r>
      <w:r w:rsidRPr="0023783C">
        <w:t xml:space="preserve"> grade, from the first to the sixth grade (see Figure 1). At the same time, the number of positive and negative experiences increased in the sixth grade. However, the pattern of negative</w:t>
      </w:r>
      <w:r w:rsidR="00C05065">
        <w:t xml:space="preserve"> disengaging</w:t>
      </w:r>
      <w:r w:rsidRPr="0023783C">
        <w:t xml:space="preserve"> school experiences increased slightly during primary school. The phase of entering school (grade 1) and the phase of transferring to secondary school (grade 6) seem to b</w:t>
      </w:r>
      <w:r w:rsidR="00BF26C2" w:rsidRPr="0023783C">
        <w:t xml:space="preserve">e crucial </w:t>
      </w:r>
      <w:r w:rsidR="00F56ED6" w:rsidRPr="0023783C">
        <w:t xml:space="preserve">in </w:t>
      </w:r>
      <w:r w:rsidR="00BF26C2" w:rsidRPr="0023783C">
        <w:t>building</w:t>
      </w:r>
      <w:r w:rsidRPr="0023783C">
        <w:t xml:space="preserve"> </w:t>
      </w:r>
      <w:r w:rsidR="00F56ED6" w:rsidRPr="0023783C">
        <w:t xml:space="preserve">an </w:t>
      </w:r>
      <w:r w:rsidRPr="0023783C">
        <w:t>engaging school experience. For all students</w:t>
      </w:r>
      <w:r w:rsidR="00F56ED6" w:rsidRPr="0023783C">
        <w:t>,</w:t>
      </w:r>
      <w:r w:rsidRPr="0023783C">
        <w:t xml:space="preserve"> the forthcoming transition to secondary school triggered engagement to school attendance. However, for students with special needs</w:t>
      </w:r>
      <w:r w:rsidR="00F56ED6" w:rsidRPr="0023783C">
        <w:t>,</w:t>
      </w:r>
      <w:r w:rsidRPr="0023783C">
        <w:t xml:space="preserve"> entering the school seemed to be </w:t>
      </w:r>
      <w:r w:rsidR="00F56ED6" w:rsidRPr="0023783C">
        <w:t xml:space="preserve">a </w:t>
      </w:r>
      <w:r w:rsidRPr="0023783C">
        <w:t xml:space="preserve">more contradictory phase of their school path than </w:t>
      </w:r>
      <w:r w:rsidR="00F56ED6" w:rsidRPr="0023783C">
        <w:t xml:space="preserve">for </w:t>
      </w:r>
      <w:r w:rsidRPr="0023783C">
        <w:t xml:space="preserve">the other students. </w:t>
      </w:r>
    </w:p>
    <w:p w14:paraId="38943AFB" w14:textId="77777777" w:rsidR="00FB091E" w:rsidRDefault="007D6B6F" w:rsidP="003652F5">
      <w:r w:rsidRPr="00B4791C">
        <w:t xml:space="preserve">Cognitively engaging school experiences </w:t>
      </w:r>
      <w:r w:rsidRPr="0023783C">
        <w:t xml:space="preserve">were not brought up by students </w:t>
      </w:r>
      <w:r w:rsidR="00F56ED6" w:rsidRPr="0023783C">
        <w:t xml:space="preserve">to </w:t>
      </w:r>
      <w:r w:rsidRPr="0023783C">
        <w:t xml:space="preserve">the same </w:t>
      </w:r>
      <w:r w:rsidRPr="006D367C">
        <w:t>exten</w:t>
      </w:r>
      <w:r w:rsidR="00F56ED6" w:rsidRPr="006D367C">
        <w:t>t</w:t>
      </w:r>
      <w:r w:rsidRPr="006D367C">
        <w:t xml:space="preserve"> (see Table </w:t>
      </w:r>
      <w:r w:rsidR="00C77D57" w:rsidRPr="006D367C">
        <w:t>1</w:t>
      </w:r>
      <w:r w:rsidRPr="006D367C">
        <w:t xml:space="preserve">) </w:t>
      </w:r>
      <w:r w:rsidR="00F56ED6" w:rsidRPr="006D367C">
        <w:t xml:space="preserve">as </w:t>
      </w:r>
      <w:r w:rsidRPr="006D367C">
        <w:t>emotional</w:t>
      </w:r>
      <w:r w:rsidR="00F56ED6" w:rsidRPr="006D367C">
        <w:t>ly</w:t>
      </w:r>
      <w:r w:rsidRPr="006D367C">
        <w:t xml:space="preserve"> engaging </w:t>
      </w:r>
      <w:r w:rsidR="00B4791C" w:rsidRPr="006D367C">
        <w:t>peer interaction – but slighter more than engaging student</w:t>
      </w:r>
      <w:r w:rsidR="00854AF8" w:rsidRPr="00247D8F">
        <w:rPr>
          <w:rFonts w:cs="Times New Roman"/>
        </w:rPr>
        <w:t>–</w:t>
      </w:r>
      <w:r w:rsidR="00B4791C" w:rsidRPr="006D367C">
        <w:t xml:space="preserve">teacher interaction. </w:t>
      </w:r>
      <w:r w:rsidR="00F56ED6" w:rsidRPr="006D367C">
        <w:t>E</w:t>
      </w:r>
      <w:r w:rsidRPr="006D367C">
        <w:t xml:space="preserve">ngaging school experiences did not statistically differ </w:t>
      </w:r>
      <w:r w:rsidR="00F56ED6" w:rsidRPr="006D367C">
        <w:t>between students with special needs and students attending general education</w:t>
      </w:r>
      <w:r w:rsidR="00F56ED6" w:rsidRPr="006D367C" w:rsidDel="00F56ED6">
        <w:t xml:space="preserve"> </w:t>
      </w:r>
      <w:r w:rsidRPr="006D367C">
        <w:t xml:space="preserve">(see Table </w:t>
      </w:r>
      <w:r w:rsidR="000D282A">
        <w:t>3 and Table 4</w:t>
      </w:r>
      <w:r w:rsidRPr="006D367C">
        <w:t>)</w:t>
      </w:r>
      <w:r w:rsidR="00527C9D" w:rsidRPr="006D367C">
        <w:t>.</w:t>
      </w:r>
      <w:r w:rsidR="00993AEB" w:rsidRPr="006D367C">
        <w:t xml:space="preserve"> However, being cognitively engaged to one´s studies was also a moderate element of school engagement</w:t>
      </w:r>
      <w:r w:rsidR="000D282A">
        <w:t xml:space="preserve"> (see Table 3)</w:t>
      </w:r>
      <w:r w:rsidR="00993AEB" w:rsidRPr="006D367C">
        <w:t>.</w:t>
      </w:r>
    </w:p>
    <w:p w14:paraId="29A79324" w14:textId="77777777" w:rsidR="00727F3E" w:rsidRDefault="00727F3E" w:rsidP="003652F5">
      <w:pPr>
        <w:rPr>
          <w:b/>
          <w:szCs w:val="24"/>
        </w:rPr>
      </w:pPr>
    </w:p>
    <w:p w14:paraId="1CC48B65" w14:textId="77777777" w:rsidR="00FB091E" w:rsidRDefault="009D2028" w:rsidP="003652F5">
      <w:pPr>
        <w:jc w:val="center"/>
        <w:rPr>
          <w:b/>
        </w:rPr>
      </w:pPr>
      <w:r w:rsidRPr="00235D47">
        <w:rPr>
          <w:b/>
        </w:rPr>
        <w:t>Discussion</w:t>
      </w:r>
    </w:p>
    <w:p w14:paraId="3B2467D3" w14:textId="77777777" w:rsidR="003652F5" w:rsidRDefault="003652F5" w:rsidP="003652F5">
      <w:pPr>
        <w:jc w:val="center"/>
        <w:rPr>
          <w:b/>
        </w:rPr>
      </w:pPr>
    </w:p>
    <w:p w14:paraId="7EAFE416" w14:textId="77777777" w:rsidR="00FB091E" w:rsidRDefault="00C34693" w:rsidP="003652F5">
      <w:pPr>
        <w:shd w:val="clear" w:color="auto" w:fill="FFFFFF"/>
        <w:autoSpaceDE w:val="0"/>
        <w:autoSpaceDN w:val="0"/>
        <w:adjustRightInd w:val="0"/>
        <w:ind w:firstLine="0"/>
        <w:jc w:val="both"/>
        <w:rPr>
          <w:b/>
        </w:rPr>
      </w:pPr>
      <w:r w:rsidRPr="007F68D7">
        <w:rPr>
          <w:b/>
        </w:rPr>
        <w:t xml:space="preserve">Methodological </w:t>
      </w:r>
      <w:r w:rsidR="003652F5">
        <w:rPr>
          <w:b/>
        </w:rPr>
        <w:t>L</w:t>
      </w:r>
      <w:r w:rsidR="00D57A87" w:rsidRPr="007F68D7">
        <w:rPr>
          <w:b/>
        </w:rPr>
        <w:t>imitations</w:t>
      </w:r>
      <w:r w:rsidRPr="007F68D7">
        <w:rPr>
          <w:b/>
        </w:rPr>
        <w:t xml:space="preserve"> </w:t>
      </w:r>
    </w:p>
    <w:p w14:paraId="3CCE2969" w14:textId="77777777" w:rsidR="003652F5" w:rsidRDefault="003652F5" w:rsidP="003652F5">
      <w:pPr>
        <w:shd w:val="clear" w:color="auto" w:fill="FFFFFF"/>
        <w:autoSpaceDE w:val="0"/>
        <w:autoSpaceDN w:val="0"/>
        <w:adjustRightInd w:val="0"/>
        <w:ind w:firstLine="0"/>
        <w:jc w:val="both"/>
        <w:rPr>
          <w:i/>
          <w:szCs w:val="24"/>
        </w:rPr>
      </w:pPr>
    </w:p>
    <w:p w14:paraId="4C178014" w14:textId="77777777" w:rsidR="00FB091E" w:rsidRDefault="009D2028" w:rsidP="003652F5">
      <w:r w:rsidRPr="00E50E5D">
        <w:t>In the p</w:t>
      </w:r>
      <w:r w:rsidR="003500B8">
        <w:t xml:space="preserve">resent study, </w:t>
      </w:r>
      <w:r w:rsidR="005A5EAC" w:rsidRPr="0023783C">
        <w:t xml:space="preserve">an </w:t>
      </w:r>
      <w:r w:rsidR="003500B8" w:rsidRPr="0023783C">
        <w:t>open-ended questionnaire was utilized</w:t>
      </w:r>
      <w:r w:rsidRPr="0023783C">
        <w:t xml:space="preserve"> to capture the positive and negative school exper</w:t>
      </w:r>
      <w:r w:rsidR="003500B8" w:rsidRPr="0023783C">
        <w:t>iences of seventh graders in</w:t>
      </w:r>
      <w:r w:rsidRPr="0023783C">
        <w:t xml:space="preserve"> Finland-Swedish middle schools in Helsinki</w:t>
      </w:r>
      <w:r w:rsidRPr="007C172D">
        <w:t xml:space="preserve">. The </w:t>
      </w:r>
      <w:r w:rsidR="00F51DD7" w:rsidRPr="007C172D">
        <w:t xml:space="preserve">written responses </w:t>
      </w:r>
      <w:r w:rsidRPr="007C172D">
        <w:t xml:space="preserve">gave us an opportunity to explore school experiences </w:t>
      </w:r>
      <w:r w:rsidR="00D34E45" w:rsidRPr="007C172D">
        <w:t xml:space="preserve">retrospectively </w:t>
      </w:r>
      <w:r w:rsidRPr="007C172D">
        <w:t xml:space="preserve">among both </w:t>
      </w:r>
      <w:r w:rsidR="00B378B9" w:rsidRPr="007C172D">
        <w:t>students</w:t>
      </w:r>
      <w:r w:rsidR="00B378B9" w:rsidRPr="0023783C">
        <w:t xml:space="preserve"> with s</w:t>
      </w:r>
      <w:r w:rsidRPr="0023783C">
        <w:t xml:space="preserve">pecial </w:t>
      </w:r>
      <w:r w:rsidR="00B378B9" w:rsidRPr="0023783C">
        <w:t>needs</w:t>
      </w:r>
      <w:r w:rsidRPr="0023783C">
        <w:t xml:space="preserve"> and </w:t>
      </w:r>
      <w:r w:rsidR="00B378B9" w:rsidRPr="0023783C">
        <w:t>general education</w:t>
      </w:r>
      <w:r w:rsidRPr="0023783C">
        <w:t xml:space="preserve"> students </w:t>
      </w:r>
      <w:r w:rsidR="00010D90" w:rsidRPr="0023783C">
        <w:t xml:space="preserve">in inclusive educational practices at </w:t>
      </w:r>
      <w:r w:rsidR="009D61C1">
        <w:t xml:space="preserve">the </w:t>
      </w:r>
      <w:r w:rsidR="00010D90" w:rsidRPr="0023783C">
        <w:t xml:space="preserve">school level. </w:t>
      </w:r>
    </w:p>
    <w:p w14:paraId="3C995E6D" w14:textId="77777777" w:rsidR="00FB091E" w:rsidRDefault="00D34E45" w:rsidP="003652F5">
      <w:pPr>
        <w:rPr>
          <w:i/>
          <w:lang w:val="en-GB"/>
        </w:rPr>
      </w:pPr>
      <w:r w:rsidRPr="0023783C">
        <w:rPr>
          <w:lang w:val="en-GB"/>
        </w:rPr>
        <w:t xml:space="preserve">In this study, </w:t>
      </w:r>
      <w:r w:rsidR="005A5EAC" w:rsidRPr="0023783C">
        <w:rPr>
          <w:lang w:val="en-GB"/>
        </w:rPr>
        <w:t xml:space="preserve">a </w:t>
      </w:r>
      <w:r w:rsidRPr="0023783C">
        <w:rPr>
          <w:lang w:val="en-GB"/>
        </w:rPr>
        <w:t xml:space="preserve">retrospective research design </w:t>
      </w:r>
      <w:r w:rsidR="005A5EAC" w:rsidRPr="0023783C">
        <w:rPr>
          <w:lang w:val="en-GB"/>
        </w:rPr>
        <w:t xml:space="preserve">was </w:t>
      </w:r>
      <w:r w:rsidRPr="0023783C">
        <w:rPr>
          <w:lang w:val="en-GB"/>
        </w:rPr>
        <w:t xml:space="preserve">used to capture significant </w:t>
      </w:r>
      <w:r w:rsidR="005747B8" w:rsidRPr="0023783C">
        <w:rPr>
          <w:lang w:val="en-GB"/>
        </w:rPr>
        <w:t xml:space="preserve">experiences </w:t>
      </w:r>
      <w:r w:rsidR="005A5EAC" w:rsidRPr="0023783C">
        <w:rPr>
          <w:lang w:val="en-GB"/>
        </w:rPr>
        <w:t>o</w:t>
      </w:r>
      <w:r w:rsidRPr="0023783C">
        <w:rPr>
          <w:lang w:val="en-GB"/>
        </w:rPr>
        <w:t xml:space="preserve">n the </w:t>
      </w:r>
      <w:r w:rsidR="00E50E5D" w:rsidRPr="0023783C">
        <w:rPr>
          <w:lang w:val="en-GB"/>
        </w:rPr>
        <w:t>students</w:t>
      </w:r>
      <w:r w:rsidRPr="0023783C">
        <w:rPr>
          <w:lang w:val="en-GB"/>
        </w:rPr>
        <w:t>’ learning paths</w:t>
      </w:r>
      <w:r w:rsidR="00E70CA8" w:rsidRPr="0023783C">
        <w:rPr>
          <w:lang w:val="en-GB"/>
        </w:rPr>
        <w:t>.</w:t>
      </w:r>
      <w:r w:rsidRPr="0023783C">
        <w:rPr>
          <w:lang w:val="en-GB"/>
        </w:rPr>
        <w:t xml:space="preserve"> There are some challenges in using </w:t>
      </w:r>
      <w:r w:rsidR="005A5EAC" w:rsidRPr="0023783C">
        <w:rPr>
          <w:lang w:val="en-GB"/>
        </w:rPr>
        <w:t xml:space="preserve">a </w:t>
      </w:r>
      <w:r w:rsidRPr="0023783C">
        <w:rPr>
          <w:lang w:val="en-GB"/>
        </w:rPr>
        <w:t xml:space="preserve">retrospective approach (Cox &amp; Hassard, 2007). The </w:t>
      </w:r>
      <w:r w:rsidR="00E70CA8" w:rsidRPr="0023783C">
        <w:rPr>
          <w:lang w:val="en-GB"/>
        </w:rPr>
        <w:t>students</w:t>
      </w:r>
      <w:r w:rsidRPr="0023783C">
        <w:rPr>
          <w:lang w:val="en-GB"/>
        </w:rPr>
        <w:t>’ experiences are always situated in time, context</w:t>
      </w:r>
      <w:r w:rsidR="005A5EAC" w:rsidRPr="0023783C">
        <w:rPr>
          <w:lang w:val="en-GB"/>
        </w:rPr>
        <w:t>,</w:t>
      </w:r>
      <w:r w:rsidRPr="0023783C">
        <w:rPr>
          <w:lang w:val="en-GB"/>
        </w:rPr>
        <w:t xml:space="preserve"> and their overall life situation</w:t>
      </w:r>
      <w:r w:rsidR="005A5EAC" w:rsidRPr="0023783C">
        <w:rPr>
          <w:lang w:val="en-GB"/>
        </w:rPr>
        <w:t>,</w:t>
      </w:r>
      <w:r w:rsidRPr="0023783C">
        <w:rPr>
          <w:lang w:val="en-GB"/>
        </w:rPr>
        <w:t xml:space="preserve"> which are often challenging to recall and sum up </w:t>
      </w:r>
      <w:r w:rsidR="00E70CA8" w:rsidRPr="0023783C">
        <w:rPr>
          <w:lang w:val="en-GB"/>
        </w:rPr>
        <w:t xml:space="preserve">afterwards. </w:t>
      </w:r>
      <w:r w:rsidRPr="0023783C">
        <w:rPr>
          <w:lang w:val="en-GB"/>
        </w:rPr>
        <w:t>Accordingly, retrospection is likely to cause some memory effect on the data</w:t>
      </w:r>
      <w:r w:rsidR="005A5EAC" w:rsidRPr="0023783C">
        <w:rPr>
          <w:lang w:val="en-GB"/>
        </w:rPr>
        <w:t>,</w:t>
      </w:r>
      <w:r w:rsidRPr="0023783C">
        <w:rPr>
          <w:lang w:val="en-GB"/>
        </w:rPr>
        <w:t xml:space="preserve"> as well as generali</w:t>
      </w:r>
      <w:r w:rsidR="005A5EAC" w:rsidRPr="0023783C">
        <w:rPr>
          <w:lang w:val="en-GB"/>
        </w:rPr>
        <w:t>z</w:t>
      </w:r>
      <w:r w:rsidRPr="0023783C">
        <w:rPr>
          <w:lang w:val="en-GB"/>
        </w:rPr>
        <w:t xml:space="preserve">ation of the experience. </w:t>
      </w:r>
      <w:r w:rsidR="00D57A87" w:rsidRPr="007C172D">
        <w:rPr>
          <w:lang w:val="en-GB"/>
        </w:rPr>
        <w:t>Moreover,</w:t>
      </w:r>
      <w:r w:rsidRPr="007C172D">
        <w:rPr>
          <w:lang w:val="en-GB"/>
        </w:rPr>
        <w:t xml:space="preserve"> significant</w:t>
      </w:r>
      <w:r w:rsidRPr="0023783C">
        <w:rPr>
          <w:lang w:val="en-GB"/>
        </w:rPr>
        <w:t xml:space="preserve"> negative episodes might be challenging or painful to recall for some of the </w:t>
      </w:r>
      <w:r w:rsidR="00E70CA8" w:rsidRPr="0023783C">
        <w:rPr>
          <w:lang w:val="en-GB"/>
        </w:rPr>
        <w:t>students</w:t>
      </w:r>
      <w:r w:rsidRPr="0023783C">
        <w:rPr>
          <w:lang w:val="en-GB"/>
        </w:rPr>
        <w:t xml:space="preserve">. </w:t>
      </w:r>
    </w:p>
    <w:p w14:paraId="62C8494C" w14:textId="77777777" w:rsidR="00FB091E" w:rsidRDefault="00D34E45" w:rsidP="003652F5">
      <w:r w:rsidRPr="0023783C">
        <w:rPr>
          <w:lang w:val="en-GB"/>
        </w:rPr>
        <w:t xml:space="preserve">Using </w:t>
      </w:r>
      <w:r w:rsidR="005A5EAC" w:rsidRPr="0023783C">
        <w:rPr>
          <w:lang w:val="en-GB"/>
        </w:rPr>
        <w:t xml:space="preserve">a </w:t>
      </w:r>
      <w:r w:rsidRPr="0023783C">
        <w:rPr>
          <w:lang w:val="en-GB"/>
        </w:rPr>
        <w:t xml:space="preserve">retrospective approach and open-ended questions also had its advantages (Cox &amp; Hassard, 2007). The reflective and process-oriented design gave the </w:t>
      </w:r>
      <w:r w:rsidR="005747B8" w:rsidRPr="0023783C">
        <w:rPr>
          <w:lang w:val="en-GB"/>
        </w:rPr>
        <w:t xml:space="preserve">students </w:t>
      </w:r>
      <w:r w:rsidRPr="0023783C">
        <w:rPr>
          <w:lang w:val="en-GB"/>
        </w:rPr>
        <w:t xml:space="preserve">an opportunity to reflect on their school career and </w:t>
      </w:r>
      <w:r w:rsidR="005747B8" w:rsidRPr="0023783C">
        <w:rPr>
          <w:lang w:val="en-GB"/>
        </w:rPr>
        <w:t xml:space="preserve">the antecedents of </w:t>
      </w:r>
      <w:r w:rsidR="00C451BF" w:rsidRPr="0023783C">
        <w:rPr>
          <w:lang w:val="en-GB"/>
        </w:rPr>
        <w:t xml:space="preserve">engaging </w:t>
      </w:r>
      <w:r w:rsidR="005747B8" w:rsidRPr="0023783C">
        <w:rPr>
          <w:lang w:val="en-GB"/>
        </w:rPr>
        <w:t>school e</w:t>
      </w:r>
      <w:r w:rsidR="00C451BF" w:rsidRPr="0023783C">
        <w:rPr>
          <w:lang w:val="en-GB"/>
        </w:rPr>
        <w:t>xperience</w:t>
      </w:r>
      <w:r w:rsidR="005A5EAC" w:rsidRPr="0023783C">
        <w:rPr>
          <w:lang w:val="en-GB"/>
        </w:rPr>
        <w:t>s</w:t>
      </w:r>
      <w:r w:rsidRPr="0023783C">
        <w:rPr>
          <w:lang w:val="en-GB"/>
        </w:rPr>
        <w:t>. This resulted in rich data</w:t>
      </w:r>
      <w:r w:rsidR="005A5EAC" w:rsidRPr="0023783C">
        <w:rPr>
          <w:lang w:val="en-GB"/>
        </w:rPr>
        <w:t>,</w:t>
      </w:r>
      <w:r w:rsidRPr="0023783C">
        <w:rPr>
          <w:lang w:val="en-GB"/>
        </w:rPr>
        <w:t xml:space="preserve"> including themes the researchers could not have anticipated. Retrospection also ensured that the </w:t>
      </w:r>
      <w:r w:rsidR="00772DCA" w:rsidRPr="0023783C">
        <w:rPr>
          <w:lang w:val="en-GB"/>
        </w:rPr>
        <w:t xml:space="preserve">students </w:t>
      </w:r>
      <w:r w:rsidRPr="0023783C">
        <w:rPr>
          <w:lang w:val="en-GB"/>
        </w:rPr>
        <w:t>recalled and reported only significant events and episodes</w:t>
      </w:r>
      <w:r w:rsidR="001C1382" w:rsidRPr="0023783C">
        <w:rPr>
          <w:lang w:val="en-GB"/>
        </w:rPr>
        <w:t>.</w:t>
      </w:r>
      <w:r w:rsidR="00772DCA" w:rsidRPr="0023783C">
        <w:t xml:space="preserve"> However, further research is needed to explore the differences between students with special needs and general education students</w:t>
      </w:r>
      <w:r w:rsidR="005A5EAC" w:rsidRPr="0023783C">
        <w:t>,</w:t>
      </w:r>
      <w:r w:rsidR="00772DCA" w:rsidRPr="0023783C">
        <w:t xml:space="preserve"> and how their experiences vary in a qualitative sense.</w:t>
      </w:r>
    </w:p>
    <w:p w14:paraId="38B0D050" w14:textId="77777777" w:rsidR="00FB091E" w:rsidRDefault="009D2028" w:rsidP="003652F5">
      <w:r w:rsidRPr="0023783C">
        <w:lastRenderedPageBreak/>
        <w:t xml:space="preserve">The low response rate among students </w:t>
      </w:r>
      <w:r w:rsidR="005A5EAC" w:rsidRPr="0023783C">
        <w:t>was probably due to</w:t>
      </w:r>
      <w:r w:rsidRPr="0023783C">
        <w:t xml:space="preserve"> practical aspects, such as </w:t>
      </w:r>
      <w:r w:rsidR="004F1B5F" w:rsidRPr="0023783C">
        <w:t xml:space="preserve">challenging </w:t>
      </w:r>
      <w:r w:rsidRPr="0023783C">
        <w:t>timing (at the end of the school year</w:t>
      </w:r>
      <w:r w:rsidR="004F1B5F" w:rsidRPr="0023783C">
        <w:t xml:space="preserve">) </w:t>
      </w:r>
      <w:r w:rsidRPr="0023783C">
        <w:t>and the practical difficulties of contacting parents (by letter or e-mail) to obtain permission for their children to participate.</w:t>
      </w:r>
      <w:r w:rsidR="00DE776A" w:rsidRPr="0023783C">
        <w:t xml:space="preserve"> </w:t>
      </w:r>
      <w:r w:rsidRPr="0023783C">
        <w:t xml:space="preserve">Because of the </w:t>
      </w:r>
      <w:r w:rsidR="005A5EAC" w:rsidRPr="0023783C">
        <w:t xml:space="preserve">low </w:t>
      </w:r>
      <w:r w:rsidRPr="0023783C">
        <w:t xml:space="preserve">response rate and the small number of participants in </w:t>
      </w:r>
      <w:r w:rsidR="003F0D63" w:rsidRPr="0023783C">
        <w:t>both student g</w:t>
      </w:r>
      <w:r w:rsidRPr="0023783C">
        <w:t xml:space="preserve">roup (students </w:t>
      </w:r>
      <w:r w:rsidR="001A35D0" w:rsidRPr="0023783C">
        <w:t xml:space="preserve">with </w:t>
      </w:r>
      <w:r w:rsidRPr="0023783C">
        <w:t xml:space="preserve">special </w:t>
      </w:r>
      <w:r w:rsidR="001A35D0" w:rsidRPr="0023783C">
        <w:t>needs</w:t>
      </w:r>
      <w:r w:rsidR="00275DBF" w:rsidRPr="0023783C">
        <w:t xml:space="preserve"> </w:t>
      </w:r>
      <w:r w:rsidRPr="0023783C">
        <w:t xml:space="preserve">and </w:t>
      </w:r>
      <w:r w:rsidR="001A35D0" w:rsidRPr="0023783C">
        <w:t xml:space="preserve">general education </w:t>
      </w:r>
      <w:r w:rsidR="006E0BD0" w:rsidRPr="0023783C">
        <w:t>students</w:t>
      </w:r>
      <w:r w:rsidR="00557E66" w:rsidRPr="0023783C">
        <w:t>)</w:t>
      </w:r>
      <w:r w:rsidRPr="0023783C">
        <w:t xml:space="preserve">, the results cannot be applied to other schools in Finland. </w:t>
      </w:r>
      <w:r w:rsidR="00D25D6E" w:rsidRPr="0023783C">
        <w:t>However, the representativeness of the sample was sufficient among both student groups</w:t>
      </w:r>
      <w:r w:rsidR="005A5EAC" w:rsidRPr="0023783C">
        <w:t>,</w:t>
      </w:r>
      <w:r w:rsidR="00D25D6E" w:rsidRPr="0023783C">
        <w:t xml:space="preserve"> and especially in terms of </w:t>
      </w:r>
      <w:r w:rsidR="003500B8" w:rsidRPr="0023783C">
        <w:t>Finnish-Swedish</w:t>
      </w:r>
      <w:r w:rsidR="00D25D6E" w:rsidRPr="0023783C">
        <w:t xml:space="preserve"> schools. </w:t>
      </w:r>
      <w:r w:rsidRPr="0023783C">
        <w:t xml:space="preserve">Hence, these findings </w:t>
      </w:r>
      <w:r w:rsidR="00D25D6E" w:rsidRPr="0023783C">
        <w:t>contribut</w:t>
      </w:r>
      <w:r w:rsidR="005A5EAC" w:rsidRPr="0023783C">
        <w:t>e</w:t>
      </w:r>
      <w:r w:rsidR="00D25D6E" w:rsidRPr="0023783C">
        <w:t xml:space="preserve"> t</w:t>
      </w:r>
      <w:r w:rsidRPr="0023783C">
        <w:t xml:space="preserve">o further studies on school engagement </w:t>
      </w:r>
      <w:r w:rsidR="00D25D6E" w:rsidRPr="007C172D">
        <w:t xml:space="preserve">related to </w:t>
      </w:r>
      <w:r w:rsidR="006515E0" w:rsidRPr="007C172D">
        <w:t>middle school students in general, especially stu</w:t>
      </w:r>
      <w:r w:rsidRPr="007C172D">
        <w:t xml:space="preserve">dents </w:t>
      </w:r>
      <w:r w:rsidR="006E0BD0" w:rsidRPr="007C172D">
        <w:t>attending</w:t>
      </w:r>
      <w:r w:rsidRPr="007C172D">
        <w:t xml:space="preserve"> special </w:t>
      </w:r>
      <w:r w:rsidR="006E0BD0" w:rsidRPr="007C172D">
        <w:t>education</w:t>
      </w:r>
      <w:r w:rsidRPr="007C172D">
        <w:t xml:space="preserve">. </w:t>
      </w:r>
      <w:r w:rsidR="00903C8B" w:rsidRPr="007C172D">
        <w:t xml:space="preserve">However, further research </w:t>
      </w:r>
      <w:r w:rsidR="005A5EAC" w:rsidRPr="007C172D">
        <w:t xml:space="preserve">to </w:t>
      </w:r>
      <w:r w:rsidR="00903C8B" w:rsidRPr="007C172D">
        <w:t>generat</w:t>
      </w:r>
      <w:r w:rsidR="005A5EAC" w:rsidRPr="007C172D">
        <w:t>e</w:t>
      </w:r>
      <w:r w:rsidR="00903C8B" w:rsidRPr="007C172D">
        <w:t xml:space="preserve"> more in-depth </w:t>
      </w:r>
      <w:r w:rsidR="00A86288" w:rsidRPr="007C172D">
        <w:t xml:space="preserve">understanding </w:t>
      </w:r>
      <w:r w:rsidR="005A5EAC" w:rsidRPr="007C172D">
        <w:t>of</w:t>
      </w:r>
      <w:r w:rsidR="005A5EAC" w:rsidRPr="0023783C">
        <w:t xml:space="preserve"> </w:t>
      </w:r>
      <w:r w:rsidR="00A86288" w:rsidRPr="0023783C">
        <w:t>the students</w:t>
      </w:r>
      <w:r w:rsidR="0086146F" w:rsidRPr="0023783C">
        <w:t>’</w:t>
      </w:r>
      <w:r w:rsidR="00A86288" w:rsidRPr="0023783C">
        <w:t xml:space="preserve"> emotional, cognitive</w:t>
      </w:r>
      <w:r w:rsidR="005A5EAC" w:rsidRPr="0023783C">
        <w:t>,</w:t>
      </w:r>
      <w:r w:rsidR="00A86288" w:rsidRPr="0023783C">
        <w:t xml:space="preserve"> and behavioral engagement in inclusive school settings</w:t>
      </w:r>
      <w:r w:rsidR="00903C8B" w:rsidRPr="0023783C">
        <w:t xml:space="preserve">, </w:t>
      </w:r>
      <w:r w:rsidR="00A86288" w:rsidRPr="0023783C">
        <w:t xml:space="preserve">for instance by conducting </w:t>
      </w:r>
      <w:r w:rsidR="00903C8B" w:rsidRPr="0023783C">
        <w:t>classroom and school observations</w:t>
      </w:r>
      <w:r w:rsidR="00A86288" w:rsidRPr="0023783C">
        <w:t xml:space="preserve"> and focus group interviews</w:t>
      </w:r>
      <w:r w:rsidR="005A5EAC" w:rsidRPr="0023783C">
        <w:t>,</w:t>
      </w:r>
      <w:r w:rsidR="0086146F" w:rsidRPr="0023783C">
        <w:t xml:space="preserve"> is needed</w:t>
      </w:r>
      <w:r w:rsidR="00903C8B" w:rsidRPr="0023783C">
        <w:t>.</w:t>
      </w:r>
    </w:p>
    <w:p w14:paraId="72344F85" w14:textId="77777777" w:rsidR="003652F5" w:rsidRDefault="003652F5" w:rsidP="003652F5"/>
    <w:p w14:paraId="5BDBA5F0" w14:textId="77777777" w:rsidR="00FB091E" w:rsidRDefault="003652F5" w:rsidP="003652F5">
      <w:pPr>
        <w:tabs>
          <w:tab w:val="left" w:pos="4005"/>
        </w:tabs>
        <w:ind w:firstLine="0"/>
        <w:rPr>
          <w:b/>
        </w:rPr>
      </w:pPr>
      <w:r>
        <w:rPr>
          <w:b/>
        </w:rPr>
        <w:t>Results in the Light of Previous R</w:t>
      </w:r>
      <w:r w:rsidR="00C34693" w:rsidRPr="007F68D7">
        <w:rPr>
          <w:b/>
        </w:rPr>
        <w:t>esearch</w:t>
      </w:r>
    </w:p>
    <w:p w14:paraId="1479D583" w14:textId="77777777" w:rsidR="003652F5" w:rsidRDefault="003652F5" w:rsidP="003652F5">
      <w:pPr>
        <w:tabs>
          <w:tab w:val="left" w:pos="4005"/>
        </w:tabs>
        <w:ind w:firstLine="0"/>
        <w:rPr>
          <w:b/>
        </w:rPr>
      </w:pPr>
    </w:p>
    <w:p w14:paraId="2100B698" w14:textId="77777777" w:rsidR="00FB091E" w:rsidRDefault="00CD7072" w:rsidP="003652F5">
      <w:r w:rsidRPr="0023783C">
        <w:t>The r</w:t>
      </w:r>
      <w:r w:rsidR="00AC28B8" w:rsidRPr="0023783C">
        <w:t xml:space="preserve">esults confirmed the findings </w:t>
      </w:r>
      <w:r w:rsidR="005A5EAC" w:rsidRPr="0023783C">
        <w:t xml:space="preserve">of </w:t>
      </w:r>
      <w:r w:rsidRPr="0023783C">
        <w:t>previous studies (for example, Lovitt et al., 1999; Milsom &amp; Glanville, 2006)</w:t>
      </w:r>
      <w:r w:rsidR="005A5EAC" w:rsidRPr="0023783C">
        <w:t>,</w:t>
      </w:r>
      <w:r w:rsidRPr="0023783C">
        <w:t xml:space="preserve"> showing </w:t>
      </w:r>
      <w:r w:rsidRPr="00B8438E">
        <w:t>that</w:t>
      </w:r>
      <w:r w:rsidR="007F3E1F" w:rsidRPr="00B8438E">
        <w:t xml:space="preserve"> sense of belonging;</w:t>
      </w:r>
      <w:r w:rsidRPr="00B8438E">
        <w:t xml:space="preserve"> good relations with peers and opportunities </w:t>
      </w:r>
      <w:r w:rsidR="00AC28B8" w:rsidRPr="00B8438E">
        <w:t>to participate constitute</w:t>
      </w:r>
      <w:r w:rsidR="007F3E1F" w:rsidRPr="00B8438E">
        <w:t xml:space="preserve"> the </w:t>
      </w:r>
      <w:r w:rsidR="00D64806" w:rsidRPr="00B8438E">
        <w:t xml:space="preserve">core of positive </w:t>
      </w:r>
      <w:r w:rsidRPr="00B8438E">
        <w:t>school experiences</w:t>
      </w:r>
      <w:r w:rsidRPr="0023783C">
        <w:t xml:space="preserve">. </w:t>
      </w:r>
      <w:r w:rsidR="00C05065">
        <w:t>Accordingly,</w:t>
      </w:r>
      <w:r w:rsidR="00D64806">
        <w:t xml:space="preserve"> the critical incidents </w:t>
      </w:r>
      <w:r w:rsidR="00D64806" w:rsidRPr="00B8438E">
        <w:t>supporting</w:t>
      </w:r>
      <w:r w:rsidR="00C05065" w:rsidRPr="00B8438E">
        <w:t xml:space="preserve"> s</w:t>
      </w:r>
      <w:r w:rsidR="00C05065" w:rsidRPr="0023783C">
        <w:t>chool engag</w:t>
      </w:r>
      <w:r w:rsidR="00D64806">
        <w:t xml:space="preserve">ement were </w:t>
      </w:r>
      <w:r w:rsidR="00D64806" w:rsidRPr="00D64806">
        <w:t>often related to good</w:t>
      </w:r>
      <w:r w:rsidR="00C05065" w:rsidRPr="00D64806">
        <w:t xml:space="preserve"> relationships</w:t>
      </w:r>
      <w:r w:rsidR="00C05065" w:rsidRPr="0023783C">
        <w:t xml:space="preserve"> with peers and teachers. </w:t>
      </w:r>
      <w:r w:rsidRPr="0023783C">
        <w:t xml:space="preserve">However, </w:t>
      </w:r>
      <w:r w:rsidR="003500B8" w:rsidRPr="0023783C">
        <w:t>studying d</w:t>
      </w:r>
      <w:r w:rsidR="00C05065">
        <w:t xml:space="preserve">id </w:t>
      </w:r>
      <w:r w:rsidR="003500B8" w:rsidRPr="0023783C">
        <w:t>not constitute the primary sou</w:t>
      </w:r>
      <w:r w:rsidR="00CE7237">
        <w:t>r</w:t>
      </w:r>
      <w:r w:rsidR="003500B8" w:rsidRPr="0023783C">
        <w:t xml:space="preserve">ce </w:t>
      </w:r>
      <w:r w:rsidR="009D2028" w:rsidRPr="0023783C">
        <w:t>of enjoy</w:t>
      </w:r>
      <w:r w:rsidR="00FB22FF" w:rsidRPr="0023783C">
        <w:t>ment</w:t>
      </w:r>
      <w:r w:rsidR="009D2028" w:rsidRPr="0023783C">
        <w:t xml:space="preserve"> and being happy </w:t>
      </w:r>
      <w:r w:rsidR="003500B8" w:rsidRPr="007C172D">
        <w:t xml:space="preserve">for </w:t>
      </w:r>
      <w:r w:rsidR="00D57A87" w:rsidRPr="007C172D">
        <w:t>the</w:t>
      </w:r>
      <w:r w:rsidR="009D2028" w:rsidRPr="007C172D">
        <w:t xml:space="preserve"> students</w:t>
      </w:r>
      <w:r w:rsidR="003500B8" w:rsidRPr="007C172D">
        <w:t xml:space="preserve"> </w:t>
      </w:r>
      <w:r w:rsidR="003500B8" w:rsidRPr="007C172D">
        <w:rPr>
          <w:rFonts w:cs="Times New Roman"/>
        </w:rPr>
        <w:t>(</w:t>
      </w:r>
      <w:r w:rsidR="00C05065" w:rsidRPr="007C172D">
        <w:rPr>
          <w:rFonts w:cs="Times New Roman"/>
        </w:rPr>
        <w:t xml:space="preserve">see also </w:t>
      </w:r>
      <w:r w:rsidR="007D082D" w:rsidRPr="007C172D">
        <w:rPr>
          <w:rFonts w:cs="Times New Roman"/>
        </w:rPr>
        <w:t xml:space="preserve">PISA, </w:t>
      </w:r>
      <w:r w:rsidR="003500B8" w:rsidRPr="007C172D">
        <w:rPr>
          <w:rFonts w:cs="Times New Roman"/>
        </w:rPr>
        <w:t>2012)</w:t>
      </w:r>
      <w:r w:rsidR="009D2028" w:rsidRPr="007C172D">
        <w:rPr>
          <w:rFonts w:cs="Times New Roman"/>
        </w:rPr>
        <w:t>.</w:t>
      </w:r>
      <w:r w:rsidR="009D2028" w:rsidRPr="007D082D">
        <w:rPr>
          <w:rFonts w:cs="Times New Roman"/>
        </w:rPr>
        <w:t xml:space="preserve"> </w:t>
      </w:r>
      <w:r w:rsidR="00C05065">
        <w:t xml:space="preserve"> Yet</w:t>
      </w:r>
      <w:r w:rsidRPr="0023783C">
        <w:t xml:space="preserve">, </w:t>
      </w:r>
      <w:r w:rsidR="00985534" w:rsidRPr="0023783C">
        <w:t xml:space="preserve">students consistently </w:t>
      </w:r>
      <w:r w:rsidR="005A5EAC" w:rsidRPr="0023783C">
        <w:t xml:space="preserve">reported </w:t>
      </w:r>
      <w:r w:rsidR="00193B62" w:rsidRPr="0023783C">
        <w:t xml:space="preserve">twice </w:t>
      </w:r>
      <w:r w:rsidR="009D5155" w:rsidRPr="0023783C">
        <w:t xml:space="preserve">as </w:t>
      </w:r>
      <w:r w:rsidR="005A5EAC" w:rsidRPr="0023783C">
        <w:t xml:space="preserve">many </w:t>
      </w:r>
      <w:r w:rsidR="009D5155" w:rsidRPr="0023783C">
        <w:t>positive</w:t>
      </w:r>
      <w:r w:rsidR="00985534" w:rsidRPr="0023783C">
        <w:t xml:space="preserve"> episodes </w:t>
      </w:r>
      <w:r w:rsidR="005A5EAC" w:rsidRPr="0023783C">
        <w:t xml:space="preserve">in </w:t>
      </w:r>
      <w:r w:rsidR="00985534" w:rsidRPr="0023783C">
        <w:t xml:space="preserve">almost in </w:t>
      </w:r>
      <w:r w:rsidR="005A5EAC" w:rsidRPr="0023783C">
        <w:t xml:space="preserve">every </w:t>
      </w:r>
      <w:r w:rsidR="00985534" w:rsidRPr="0023783C">
        <w:t>grade, from the first t</w:t>
      </w:r>
      <w:r w:rsidRPr="0023783C">
        <w:t>o the sixth grade</w:t>
      </w:r>
      <w:r w:rsidR="009D5155" w:rsidRPr="0023783C">
        <w:t xml:space="preserve">, </w:t>
      </w:r>
      <w:r w:rsidR="005A5EAC" w:rsidRPr="0023783C">
        <w:t xml:space="preserve">as </w:t>
      </w:r>
      <w:r w:rsidR="009D5155" w:rsidRPr="0023783C">
        <w:t>negative ones</w:t>
      </w:r>
      <w:r w:rsidR="00985534" w:rsidRPr="0023783C">
        <w:t>.</w:t>
      </w:r>
      <w:r w:rsidR="00B47CA3" w:rsidRPr="0023783C">
        <w:t xml:space="preserve"> </w:t>
      </w:r>
      <w:r w:rsidR="00985534" w:rsidRPr="0023783C">
        <w:t>However, the pattern of negative school exper</w:t>
      </w:r>
      <w:r w:rsidR="009D5155" w:rsidRPr="0023783C">
        <w:t>iences increased slightly toward</w:t>
      </w:r>
      <w:r w:rsidR="00985534" w:rsidRPr="0023783C">
        <w:t xml:space="preserve"> the</w:t>
      </w:r>
      <w:r w:rsidR="009D5155" w:rsidRPr="0023783C">
        <w:t xml:space="preserve"> end of </w:t>
      </w:r>
      <w:r w:rsidR="00985534" w:rsidRPr="0023783C">
        <w:t xml:space="preserve">primary school. </w:t>
      </w:r>
      <w:r w:rsidR="009D5155" w:rsidRPr="0023783C">
        <w:t>The</w:t>
      </w:r>
      <w:r w:rsidR="005D4F28" w:rsidRPr="0023783C">
        <w:t xml:space="preserve"> results are in line with findings by Lopez (2011)</w:t>
      </w:r>
      <w:r w:rsidR="005A5EAC" w:rsidRPr="0023783C">
        <w:t>,</w:t>
      </w:r>
      <w:r w:rsidR="005D4F28" w:rsidRPr="0023783C">
        <w:t xml:space="preserve"> indicating that student engagement peaks during elementary school. </w:t>
      </w:r>
    </w:p>
    <w:p w14:paraId="33699AF2" w14:textId="77777777" w:rsidR="00FB091E" w:rsidRDefault="00CD7072" w:rsidP="003652F5">
      <w:pPr>
        <w:rPr>
          <w:rFonts w:cs="Times New Roman"/>
        </w:rPr>
      </w:pPr>
      <w:r w:rsidRPr="0023783C">
        <w:t>T</w:t>
      </w:r>
      <w:r w:rsidR="00985534" w:rsidRPr="0023783C">
        <w:t xml:space="preserve">he </w:t>
      </w:r>
      <w:r w:rsidR="009D5155" w:rsidRPr="0023783C">
        <w:t>results implied</w:t>
      </w:r>
      <w:r w:rsidR="005B62FA" w:rsidRPr="0023783C">
        <w:t xml:space="preserve"> that </w:t>
      </w:r>
      <w:r w:rsidRPr="0023783C">
        <w:t>school transitions</w:t>
      </w:r>
      <w:r w:rsidR="009D5155" w:rsidRPr="0023783C">
        <w:t xml:space="preserve"> provide an opportunity for building </w:t>
      </w:r>
      <w:r w:rsidR="005A5EAC" w:rsidRPr="0023783C">
        <w:t xml:space="preserve">an </w:t>
      </w:r>
      <w:r w:rsidR="00985534" w:rsidRPr="0023783C">
        <w:t>e</w:t>
      </w:r>
      <w:r w:rsidR="009D5155" w:rsidRPr="0023783C">
        <w:t>ngaging school experience. The</w:t>
      </w:r>
      <w:r w:rsidR="00985534" w:rsidRPr="0023783C">
        <w:t xml:space="preserve"> meaningful school experiences that mold students’ engagement in terms of school attendance </w:t>
      </w:r>
      <w:r w:rsidRPr="0023783C">
        <w:t xml:space="preserve">occur especially </w:t>
      </w:r>
      <w:r w:rsidR="00985534" w:rsidRPr="0023783C">
        <w:t xml:space="preserve">when students are challenged to reflect </w:t>
      </w:r>
      <w:r w:rsidR="00B47CA3" w:rsidRPr="0023783C">
        <w:t xml:space="preserve">on their </w:t>
      </w:r>
      <w:r w:rsidR="00985534" w:rsidRPr="0023783C">
        <w:t>success in school in relation to the tasks and expectations pro</w:t>
      </w:r>
      <w:r w:rsidR="00EB5CAC" w:rsidRPr="0023783C">
        <w:t>vided by the school</w:t>
      </w:r>
      <w:r w:rsidR="007D6B6F" w:rsidRPr="0023783C">
        <w:t xml:space="preserve"> </w:t>
      </w:r>
      <w:r w:rsidR="007D6B6F" w:rsidRPr="007C172D">
        <w:t>(see also</w:t>
      </w:r>
      <w:r w:rsidR="00247D8F" w:rsidRPr="007C172D">
        <w:rPr>
          <w:kern w:val="28"/>
        </w:rPr>
        <w:t xml:space="preserve"> Pyhältö</w:t>
      </w:r>
      <w:r w:rsidR="008941C9" w:rsidRPr="007C172D">
        <w:rPr>
          <w:kern w:val="28"/>
        </w:rPr>
        <w:t xml:space="preserve"> et al., </w:t>
      </w:r>
      <w:r w:rsidR="00247D8F" w:rsidRPr="007C172D">
        <w:rPr>
          <w:kern w:val="28"/>
        </w:rPr>
        <w:t>2010).</w:t>
      </w:r>
      <w:r w:rsidR="00EB5CAC" w:rsidRPr="0023783C">
        <w:t xml:space="preserve"> F</w:t>
      </w:r>
      <w:r w:rsidR="00DE3ED1" w:rsidRPr="0023783C">
        <w:t>or students with special needs</w:t>
      </w:r>
      <w:r w:rsidR="005A5EAC" w:rsidRPr="0023783C">
        <w:t>,</w:t>
      </w:r>
      <w:r w:rsidR="00DE3ED1" w:rsidRPr="0023783C">
        <w:t xml:space="preserve"> entering the school seem</w:t>
      </w:r>
      <w:r w:rsidR="005A5EAC" w:rsidRPr="0023783C">
        <w:t>s</w:t>
      </w:r>
      <w:r w:rsidR="00DE3ED1" w:rsidRPr="0023783C">
        <w:t xml:space="preserve"> to be </w:t>
      </w:r>
      <w:r w:rsidR="005A5EAC" w:rsidRPr="0023783C">
        <w:t xml:space="preserve">a </w:t>
      </w:r>
      <w:r w:rsidR="00DE3ED1" w:rsidRPr="0023783C">
        <w:t xml:space="preserve">more contradictory phase of their school path than </w:t>
      </w:r>
      <w:r w:rsidR="005A5EAC" w:rsidRPr="0023783C">
        <w:t xml:space="preserve">for </w:t>
      </w:r>
      <w:r w:rsidR="00DE3ED1" w:rsidRPr="0023783C">
        <w:t>other students.</w:t>
      </w:r>
      <w:r w:rsidR="00EB5CAC" w:rsidRPr="0023783C">
        <w:t xml:space="preserve"> </w:t>
      </w:r>
      <w:r w:rsidR="0085342B" w:rsidRPr="004D427B">
        <w:t>This indicates that entering school is a crucial phase for negotiating the student–school environment fit</w:t>
      </w:r>
      <w:r w:rsidR="00D64806">
        <w:t xml:space="preserve">. </w:t>
      </w:r>
      <w:r w:rsidR="004C0CA9" w:rsidRPr="0023783C">
        <w:t>This may reflect the special education students’</w:t>
      </w:r>
      <w:r w:rsidR="00EB5CAC" w:rsidRPr="0023783C">
        <w:t xml:space="preserve"> sensitivity to the </w:t>
      </w:r>
      <w:r w:rsidR="00EB5CAC" w:rsidRPr="00247D8F">
        <w:t xml:space="preserve">contextual factors of </w:t>
      </w:r>
      <w:r w:rsidR="005A5EAC" w:rsidRPr="00247D8F">
        <w:t xml:space="preserve">the </w:t>
      </w:r>
      <w:r w:rsidR="00EB5CAC" w:rsidRPr="00247D8F">
        <w:t>school environment</w:t>
      </w:r>
      <w:r w:rsidR="005A5EAC" w:rsidRPr="00247D8F">
        <w:t>,</w:t>
      </w:r>
      <w:r w:rsidR="00EB5CAC" w:rsidRPr="00247D8F">
        <w:t xml:space="preserve"> and</w:t>
      </w:r>
      <w:r w:rsidR="00C34693" w:rsidRPr="00247D8F">
        <w:t xml:space="preserve"> therefore</w:t>
      </w:r>
      <w:r w:rsidR="00EB5CAC" w:rsidRPr="00247D8F">
        <w:t xml:space="preserve"> the anticipation of change in the social environment</w:t>
      </w:r>
      <w:r w:rsidR="004C0CA9" w:rsidRPr="00247D8F">
        <w:t xml:space="preserve"> during the</w:t>
      </w:r>
      <w:r w:rsidR="00C34693" w:rsidRPr="00247D8F">
        <w:t xml:space="preserve"> transition</w:t>
      </w:r>
      <w:r w:rsidR="00EB5CAC" w:rsidRPr="00247D8F">
        <w:t xml:space="preserve">, such as losing friends, may be </w:t>
      </w:r>
      <w:r w:rsidR="005A5EAC" w:rsidRPr="00247D8F">
        <w:t xml:space="preserve">a </w:t>
      </w:r>
      <w:r w:rsidR="00EB5CAC" w:rsidRPr="00247D8F">
        <w:t xml:space="preserve">more crucial factor </w:t>
      </w:r>
      <w:r w:rsidR="005A5EAC" w:rsidRPr="00247D8F">
        <w:t xml:space="preserve">in </w:t>
      </w:r>
      <w:r w:rsidR="00EB5CAC" w:rsidRPr="00247D8F">
        <w:t xml:space="preserve">school </w:t>
      </w:r>
      <w:r w:rsidR="00AC28B8" w:rsidRPr="00247D8F">
        <w:t xml:space="preserve">engagement </w:t>
      </w:r>
      <w:r w:rsidR="00EB5CAC" w:rsidRPr="00247D8F">
        <w:t>for them</w:t>
      </w:r>
      <w:r w:rsidR="00C34693" w:rsidRPr="00247D8F">
        <w:t xml:space="preserve"> </w:t>
      </w:r>
      <w:r w:rsidR="00DB564A" w:rsidRPr="00247D8F">
        <w:t>(Jindal-Snape, 2008</w:t>
      </w:r>
      <w:r w:rsidR="003A0DBB" w:rsidRPr="00247D8F">
        <w:t>).</w:t>
      </w:r>
      <w:r w:rsidR="00D64806" w:rsidRPr="00D64806">
        <w:t xml:space="preserve"> </w:t>
      </w:r>
    </w:p>
    <w:p w14:paraId="7569F274" w14:textId="77777777" w:rsidR="00FB091E" w:rsidRDefault="00D64806" w:rsidP="003652F5">
      <w:pPr>
        <w:rPr>
          <w:rFonts w:cs="Times New Roman"/>
        </w:rPr>
      </w:pPr>
      <w:r w:rsidRPr="00B8438E">
        <w:rPr>
          <w:rFonts w:cs="Times New Roman"/>
        </w:rPr>
        <w:t>Moreover,</w:t>
      </w:r>
      <w:r>
        <w:rPr>
          <w:rFonts w:cs="Times New Roman"/>
        </w:rPr>
        <w:t xml:space="preserve"> t</w:t>
      </w:r>
      <w:r w:rsidR="00AC28B8" w:rsidRPr="007C172D">
        <w:rPr>
          <w:rFonts w:cs="Times New Roman"/>
        </w:rPr>
        <w:t>he importance</w:t>
      </w:r>
      <w:r w:rsidR="00AC28B8" w:rsidRPr="00247D8F">
        <w:rPr>
          <w:rFonts w:cs="Times New Roman"/>
        </w:rPr>
        <w:t xml:space="preserve"> of </w:t>
      </w:r>
      <w:r w:rsidR="007563F5" w:rsidRPr="00247D8F">
        <w:rPr>
          <w:rFonts w:cs="Times New Roman"/>
        </w:rPr>
        <w:t>teacher</w:t>
      </w:r>
      <w:r w:rsidR="0091502A" w:rsidRPr="00247D8F">
        <w:rPr>
          <w:rFonts w:cs="Times New Roman"/>
        </w:rPr>
        <w:t>–</w:t>
      </w:r>
      <w:r w:rsidR="007563F5" w:rsidRPr="00247D8F">
        <w:rPr>
          <w:rFonts w:cs="Times New Roman"/>
        </w:rPr>
        <w:t>student relationships for students</w:t>
      </w:r>
      <w:r w:rsidR="0091502A" w:rsidRPr="00247D8F">
        <w:rPr>
          <w:rFonts w:cs="Times New Roman"/>
        </w:rPr>
        <w:t>’</w:t>
      </w:r>
      <w:r w:rsidR="007563F5" w:rsidRPr="00247D8F">
        <w:rPr>
          <w:rFonts w:cs="Times New Roman"/>
        </w:rPr>
        <w:t xml:space="preserve"> school engagement</w:t>
      </w:r>
      <w:r w:rsidR="00781876" w:rsidRPr="00247D8F">
        <w:rPr>
          <w:rFonts w:cs="Times New Roman"/>
        </w:rPr>
        <w:t xml:space="preserve"> was confirmed </w:t>
      </w:r>
      <w:r w:rsidR="00AC28B8" w:rsidRPr="00247D8F">
        <w:rPr>
          <w:rFonts w:cs="Times New Roman"/>
        </w:rPr>
        <w:t>in our study</w:t>
      </w:r>
      <w:r w:rsidR="007563F5" w:rsidRPr="00247D8F">
        <w:rPr>
          <w:rFonts w:cs="Times New Roman"/>
        </w:rPr>
        <w:t xml:space="preserve">. </w:t>
      </w:r>
      <w:r w:rsidR="00AC28B8" w:rsidRPr="00247D8F">
        <w:rPr>
          <w:rFonts w:cs="Times New Roman"/>
        </w:rPr>
        <w:t>T</w:t>
      </w:r>
      <w:r w:rsidR="00EE3333" w:rsidRPr="00247D8F">
        <w:rPr>
          <w:rFonts w:cs="Times New Roman"/>
        </w:rPr>
        <w:t xml:space="preserve">he critical incidents reported by the students often related to social conflicts in the classroom and </w:t>
      </w:r>
      <w:r w:rsidR="00C11EAD" w:rsidRPr="00247D8F">
        <w:rPr>
          <w:rFonts w:cs="Times New Roman"/>
        </w:rPr>
        <w:t>teachers</w:t>
      </w:r>
      <w:r w:rsidR="0091502A" w:rsidRPr="00247D8F">
        <w:rPr>
          <w:rFonts w:cs="Times New Roman"/>
        </w:rPr>
        <w:t>’</w:t>
      </w:r>
      <w:r w:rsidR="00C11EAD" w:rsidRPr="00247D8F">
        <w:rPr>
          <w:rFonts w:cs="Times New Roman"/>
        </w:rPr>
        <w:t xml:space="preserve"> competence in resolving conflicts.</w:t>
      </w:r>
      <w:r w:rsidR="00981184" w:rsidRPr="00247D8F">
        <w:rPr>
          <w:rFonts w:cs="Times New Roman"/>
        </w:rPr>
        <w:t xml:space="preserve"> </w:t>
      </w:r>
      <w:r w:rsidR="0091502A" w:rsidRPr="00247D8F">
        <w:rPr>
          <w:rFonts w:cs="Times New Roman"/>
        </w:rPr>
        <w:t>The r</w:t>
      </w:r>
      <w:r w:rsidR="00981184" w:rsidRPr="00247D8F">
        <w:rPr>
          <w:rFonts w:cs="Times New Roman"/>
        </w:rPr>
        <w:t>esults indi</w:t>
      </w:r>
      <w:r w:rsidR="00AC28B8" w:rsidRPr="00247D8F">
        <w:rPr>
          <w:rFonts w:cs="Times New Roman"/>
        </w:rPr>
        <w:t>cate that the students</w:t>
      </w:r>
      <w:r w:rsidR="00981184" w:rsidRPr="00247D8F">
        <w:rPr>
          <w:rFonts w:cs="Times New Roman"/>
        </w:rPr>
        <w:t xml:space="preserve"> value a constructive student</w:t>
      </w:r>
      <w:r w:rsidR="00F56ED6" w:rsidRPr="00247D8F">
        <w:t>–</w:t>
      </w:r>
      <w:r w:rsidR="00981184" w:rsidRPr="00247D8F">
        <w:rPr>
          <w:rFonts w:cs="Times New Roman"/>
        </w:rPr>
        <w:t>teacher</w:t>
      </w:r>
      <w:r w:rsidR="00C34693" w:rsidRPr="00247D8F">
        <w:rPr>
          <w:rFonts w:cs="Times New Roman"/>
        </w:rPr>
        <w:t xml:space="preserve"> interaction as</w:t>
      </w:r>
      <w:r w:rsidR="00AC28B8" w:rsidRPr="00247D8F">
        <w:rPr>
          <w:rFonts w:cs="Times New Roman"/>
        </w:rPr>
        <w:t xml:space="preserve"> such</w:t>
      </w:r>
      <w:r w:rsidR="00781876" w:rsidRPr="00247D8F">
        <w:rPr>
          <w:rFonts w:cs="Times New Roman"/>
        </w:rPr>
        <w:t>,</w:t>
      </w:r>
      <w:r w:rsidR="00AC28B8" w:rsidRPr="00247D8F">
        <w:rPr>
          <w:rFonts w:cs="Times New Roman"/>
        </w:rPr>
        <w:t xml:space="preserve"> but also </w:t>
      </w:r>
      <w:r w:rsidR="008459C3" w:rsidRPr="00247D8F">
        <w:rPr>
          <w:rFonts w:cs="Times New Roman"/>
        </w:rPr>
        <w:t xml:space="preserve">as a supporting element for their </w:t>
      </w:r>
      <w:r w:rsidR="00981184" w:rsidRPr="00247D8F">
        <w:rPr>
          <w:rFonts w:cs="Times New Roman"/>
        </w:rPr>
        <w:t>sense of belonging</w:t>
      </w:r>
      <w:r w:rsidR="00AC28B8" w:rsidRPr="00247D8F">
        <w:rPr>
          <w:rFonts w:cs="Times New Roman"/>
        </w:rPr>
        <w:t xml:space="preserve"> in </w:t>
      </w:r>
      <w:r w:rsidR="0091502A" w:rsidRPr="00247D8F">
        <w:rPr>
          <w:rFonts w:cs="Times New Roman"/>
        </w:rPr>
        <w:t xml:space="preserve">their </w:t>
      </w:r>
      <w:r w:rsidR="00AC28B8" w:rsidRPr="00247D8F">
        <w:rPr>
          <w:rFonts w:cs="Times New Roman"/>
        </w:rPr>
        <w:t>peer group</w:t>
      </w:r>
      <w:r w:rsidR="00981184" w:rsidRPr="00247D8F">
        <w:rPr>
          <w:rFonts w:cs="Times New Roman"/>
        </w:rPr>
        <w:t>.</w:t>
      </w:r>
      <w:r w:rsidR="008459C3" w:rsidRPr="00247D8F">
        <w:rPr>
          <w:rFonts w:cs="Times New Roman"/>
        </w:rPr>
        <w:t xml:space="preserve"> </w:t>
      </w:r>
      <w:r w:rsidR="0085342B" w:rsidRPr="0023783C">
        <w:t xml:space="preserve">This indicates that students valued inclusive educational practices in terms of taking care of the quality of social interaction within the school community. </w:t>
      </w:r>
      <w:r w:rsidR="00BE5D2B" w:rsidRPr="00247D8F">
        <w:rPr>
          <w:rFonts w:cs="Times New Roman"/>
          <w:lang w:val="en-GB"/>
        </w:rPr>
        <w:t>This is in line with</w:t>
      </w:r>
      <w:r w:rsidR="00781876" w:rsidRPr="00247D8F">
        <w:rPr>
          <w:rFonts w:cs="Times New Roman"/>
          <w:lang w:val="en-GB"/>
        </w:rPr>
        <w:t xml:space="preserve"> earlier findings</w:t>
      </w:r>
      <w:r w:rsidR="0091502A" w:rsidRPr="00247D8F">
        <w:rPr>
          <w:rFonts w:cs="Times New Roman"/>
          <w:lang w:val="en-GB"/>
        </w:rPr>
        <w:t>,</w:t>
      </w:r>
      <w:r w:rsidR="00781876" w:rsidRPr="00247D8F">
        <w:rPr>
          <w:rFonts w:cs="Times New Roman"/>
          <w:lang w:val="en-GB"/>
        </w:rPr>
        <w:t xml:space="preserve"> showing that </w:t>
      </w:r>
      <w:r w:rsidR="00BE5D2B" w:rsidRPr="00247D8F">
        <w:rPr>
          <w:rFonts w:cs="Times New Roman"/>
          <w:lang w:val="en-GB"/>
        </w:rPr>
        <w:t xml:space="preserve">fair treatment and emotional support from teachers are central determinants </w:t>
      </w:r>
      <w:r w:rsidR="0091502A" w:rsidRPr="00247D8F">
        <w:rPr>
          <w:rFonts w:cs="Times New Roman"/>
          <w:lang w:val="en-GB"/>
        </w:rPr>
        <w:t xml:space="preserve">of </w:t>
      </w:r>
      <w:r w:rsidR="00BE5D2B" w:rsidRPr="00247D8F">
        <w:rPr>
          <w:rFonts w:cs="Times New Roman"/>
          <w:lang w:val="en-GB"/>
        </w:rPr>
        <w:t xml:space="preserve">students’ experiences of peer relations </w:t>
      </w:r>
      <w:r w:rsidR="00BE5D2B" w:rsidRPr="00247D8F">
        <w:rPr>
          <w:rFonts w:cs="Times New Roman"/>
        </w:rPr>
        <w:t>(e.g.</w:t>
      </w:r>
      <w:r w:rsidR="00C9321B">
        <w:rPr>
          <w:rFonts w:cs="Times New Roman"/>
        </w:rPr>
        <w:t>,</w:t>
      </w:r>
      <w:r w:rsidR="00BE5D2B" w:rsidRPr="00247D8F">
        <w:rPr>
          <w:rFonts w:cs="Times New Roman"/>
        </w:rPr>
        <w:t xml:space="preserve"> Hughes &amp; Chen, 2011; Luckner &amp; Pianta, 2011)</w:t>
      </w:r>
      <w:r w:rsidR="00BE5D2B" w:rsidRPr="00247D8F">
        <w:rPr>
          <w:rFonts w:cs="Times New Roman"/>
          <w:lang w:val="en-GB"/>
        </w:rPr>
        <w:t>.</w:t>
      </w:r>
      <w:r w:rsidR="00C11DB3" w:rsidRPr="00247D8F">
        <w:rPr>
          <w:rFonts w:cs="Times New Roman"/>
          <w:lang w:val="en-GB"/>
        </w:rPr>
        <w:t xml:space="preserve"> Students with special needs seem to have more positive teacher</w:t>
      </w:r>
      <w:r w:rsidR="0091502A" w:rsidRPr="00247D8F">
        <w:rPr>
          <w:rFonts w:cs="Times New Roman"/>
          <w:lang w:val="en-GB"/>
        </w:rPr>
        <w:t>–</w:t>
      </w:r>
      <w:r w:rsidR="00C11DB3" w:rsidRPr="00247D8F">
        <w:rPr>
          <w:rFonts w:cs="Times New Roman"/>
          <w:lang w:val="en-GB"/>
        </w:rPr>
        <w:t>student relations</w:t>
      </w:r>
      <w:r w:rsidR="0091502A" w:rsidRPr="00247D8F">
        <w:rPr>
          <w:rFonts w:cs="Times New Roman"/>
          <w:lang w:val="en-GB"/>
        </w:rPr>
        <w:t>,</w:t>
      </w:r>
      <w:r w:rsidR="00C11DB3" w:rsidRPr="00247D8F">
        <w:rPr>
          <w:rFonts w:cs="Times New Roman"/>
          <w:lang w:val="en-GB"/>
        </w:rPr>
        <w:t xml:space="preserve"> which might reflect </w:t>
      </w:r>
      <w:r w:rsidR="0091502A" w:rsidRPr="00247D8F">
        <w:rPr>
          <w:rFonts w:cs="Times New Roman"/>
          <w:lang w:val="en-GB"/>
        </w:rPr>
        <w:t xml:space="preserve">the greater </w:t>
      </w:r>
      <w:r w:rsidR="00C11DB3" w:rsidRPr="00247D8F">
        <w:rPr>
          <w:rFonts w:cs="Times New Roman"/>
          <w:lang w:val="en-GB"/>
        </w:rPr>
        <w:t xml:space="preserve">time and emphasis </w:t>
      </w:r>
      <w:r w:rsidR="0091502A" w:rsidRPr="00247D8F">
        <w:rPr>
          <w:rFonts w:cs="Times New Roman"/>
          <w:lang w:val="en-GB"/>
        </w:rPr>
        <w:t xml:space="preserve">given to </w:t>
      </w:r>
      <w:r w:rsidR="00C11DB3" w:rsidRPr="00247D8F">
        <w:rPr>
          <w:rFonts w:cs="Times New Roman"/>
          <w:lang w:val="en-GB"/>
        </w:rPr>
        <w:t>this relation</w:t>
      </w:r>
      <w:r w:rsidR="0091502A" w:rsidRPr="00247D8F">
        <w:rPr>
          <w:rFonts w:cs="Times New Roman"/>
          <w:lang w:val="en-GB"/>
        </w:rPr>
        <w:t>ship</w:t>
      </w:r>
      <w:r w:rsidR="00C11DB3" w:rsidRPr="00247D8F">
        <w:rPr>
          <w:rFonts w:cs="Times New Roman"/>
          <w:lang w:val="en-GB"/>
        </w:rPr>
        <w:t xml:space="preserve"> in remedial teaching</w:t>
      </w:r>
      <w:r w:rsidR="00B071B4" w:rsidRPr="00247D8F">
        <w:rPr>
          <w:rFonts w:cs="Times New Roman"/>
          <w:lang w:val="en-GB"/>
        </w:rPr>
        <w:t xml:space="preserve"> (Habel, 1999; </w:t>
      </w:r>
      <w:r w:rsidR="00AC0D22" w:rsidRPr="00247D8F">
        <w:rPr>
          <w:rFonts w:cs="Times New Roman"/>
          <w:lang w:val="en-GB"/>
        </w:rPr>
        <w:t>Pitt &amp; Curtin, 2004</w:t>
      </w:r>
      <w:r w:rsidR="003A0DBB" w:rsidRPr="00247D8F">
        <w:rPr>
          <w:rFonts w:cs="Times New Roman"/>
          <w:lang w:val="en-GB"/>
        </w:rPr>
        <w:t>; Lovitt et al., 1999</w:t>
      </w:r>
      <w:r w:rsidR="00AC0D22" w:rsidRPr="00247D8F">
        <w:rPr>
          <w:rFonts w:cs="Times New Roman"/>
          <w:lang w:val="en-GB"/>
        </w:rPr>
        <w:t>)</w:t>
      </w:r>
      <w:r w:rsidR="0091502A" w:rsidRPr="00247D8F">
        <w:rPr>
          <w:rFonts w:cs="Times New Roman"/>
          <w:lang w:val="en-GB"/>
        </w:rPr>
        <w:t>.</w:t>
      </w:r>
      <w:r w:rsidR="004F7F8E" w:rsidRPr="00B8438E">
        <w:t xml:space="preserve"> Hence in developing inclusive pedagogical practices, such as designing appropriate teacher support for students with special </w:t>
      </w:r>
      <w:r w:rsidR="004F7F8E" w:rsidRPr="00B8438E">
        <w:lastRenderedPageBreak/>
        <w:t>needs, student – school environment fit should be facilitated by providing intentional support on building strong sense of belonging especially in peer group.</w:t>
      </w:r>
    </w:p>
    <w:p w14:paraId="7C874359" w14:textId="77777777" w:rsidR="00FB091E" w:rsidRDefault="003D7E18" w:rsidP="003652F5">
      <w:r w:rsidRPr="007C172D">
        <w:t>Contradictory to some prior studies</w:t>
      </w:r>
      <w:r w:rsidR="009D2028" w:rsidRPr="007C172D">
        <w:t xml:space="preserve"> </w:t>
      </w:r>
      <w:r w:rsidR="00111C57" w:rsidRPr="007C172D">
        <w:t>(e.g.</w:t>
      </w:r>
      <w:r w:rsidR="00C532C2">
        <w:t>,</w:t>
      </w:r>
      <w:r w:rsidR="00111C57" w:rsidRPr="007C172D">
        <w:t xml:space="preserve"> Pyhältö et al</w:t>
      </w:r>
      <w:r w:rsidR="00C532C2">
        <w:t>.,</w:t>
      </w:r>
      <w:r w:rsidR="00111C57" w:rsidRPr="007C172D">
        <w:t xml:space="preserve"> 2010) </w:t>
      </w:r>
      <w:r w:rsidR="009D2028" w:rsidRPr="007C172D">
        <w:t>in</w:t>
      </w:r>
      <w:r w:rsidRPr="007C172D">
        <w:t xml:space="preserve"> our study students did not emphasize </w:t>
      </w:r>
      <w:r w:rsidR="009D61C1">
        <w:t xml:space="preserve">the </w:t>
      </w:r>
      <w:r w:rsidRPr="007C172D">
        <w:t>significance of studying related experiences for their school engagement to same exten</w:t>
      </w:r>
      <w:r w:rsidR="00B30AB8">
        <w:t>t</w:t>
      </w:r>
      <w:r w:rsidR="009D2028" w:rsidRPr="007C172D">
        <w:t>.</w:t>
      </w:r>
      <w:r w:rsidR="00CE7237">
        <w:t xml:space="preserve"> </w:t>
      </w:r>
      <w:r w:rsidR="00111C57" w:rsidRPr="007C172D">
        <w:t>However, th</w:t>
      </w:r>
      <w:r w:rsidRPr="007C172D">
        <w:t xml:space="preserve">e </w:t>
      </w:r>
      <w:r w:rsidR="00111C57" w:rsidRPr="007C172D">
        <w:t>s</w:t>
      </w:r>
      <w:r w:rsidR="005D6825">
        <w:t>tudents´</w:t>
      </w:r>
      <w:r w:rsidR="00111C57" w:rsidRPr="007C172D">
        <w:t xml:space="preserve"> peer interaction</w:t>
      </w:r>
      <w:r w:rsidRPr="007C172D">
        <w:t xml:space="preserve"> was highly emphasized as a source of engaging school experience by the seventh graders</w:t>
      </w:r>
      <w:r w:rsidR="00111C57" w:rsidRPr="007C172D">
        <w:t xml:space="preserve">. </w:t>
      </w:r>
      <w:r w:rsidR="00691D6E" w:rsidRPr="007C172D">
        <w:t>Previous studies have shown that such inclusive practices of integrating students with special needs into</w:t>
      </w:r>
      <w:r w:rsidR="009D61C1">
        <w:t xml:space="preserve"> the</w:t>
      </w:r>
      <w:r w:rsidR="00691D6E" w:rsidRPr="007C172D">
        <w:t xml:space="preserve"> general education context and providing support for them to master better their studies foster emotional engagement in forms of positive experiences of sense of equality and being acknowledged (e.g. Bossaert et al., 2012; Langher et al., 2010; Matzen, Ryndak, &amp; Nakao, 2010; Pitt &amp; Curtin, 2004; Reschly &amp; Christenson, 2006). </w:t>
      </w:r>
      <w:r w:rsidR="00F477AE">
        <w:t xml:space="preserve">However, </w:t>
      </w:r>
      <w:r w:rsidR="00F477AE" w:rsidRPr="00980FB3">
        <w:t>i</w:t>
      </w:r>
      <w:r w:rsidR="00E71A7F" w:rsidRPr="00980FB3">
        <w:t xml:space="preserve">n our study no </w:t>
      </w:r>
      <w:r w:rsidR="00EB4330" w:rsidRPr="00980FB3">
        <w:t>statistical</w:t>
      </w:r>
      <w:r w:rsidRPr="00980FB3">
        <w:t xml:space="preserve">ly significant </w:t>
      </w:r>
      <w:r w:rsidR="00E71A7F" w:rsidRPr="00980FB3">
        <w:t>differences between students with special needs and general education students</w:t>
      </w:r>
      <w:r w:rsidR="00F477AE" w:rsidRPr="00980FB3">
        <w:t xml:space="preserve"> in critical incidents of school engagement</w:t>
      </w:r>
      <w:r w:rsidR="00E71A7F" w:rsidRPr="00980FB3">
        <w:t xml:space="preserve"> were found. Perhaps one reason is that in Finland mainstreaming is common, i.e. students have possibilities of</w:t>
      </w:r>
      <w:r w:rsidR="009D61C1">
        <w:t xml:space="preserve"> more easily</w:t>
      </w:r>
      <w:r w:rsidR="00AD7EFA" w:rsidRPr="00980FB3">
        <w:t xml:space="preserve"> </w:t>
      </w:r>
      <w:r w:rsidR="00E71A7F" w:rsidRPr="00980FB3">
        <w:t>feel</w:t>
      </w:r>
      <w:r w:rsidR="00AD7EFA" w:rsidRPr="00980FB3">
        <w:t>ing accepted and getting a positive identity; requiring thus that they receive enough individual support on their learning path.</w:t>
      </w:r>
    </w:p>
    <w:p w14:paraId="6C2FAD3B" w14:textId="77777777" w:rsidR="00FB091E" w:rsidRDefault="00FB091E" w:rsidP="003652F5">
      <w:pPr>
        <w:ind w:firstLine="0"/>
        <w:rPr>
          <w:i/>
        </w:rPr>
      </w:pPr>
    </w:p>
    <w:p w14:paraId="7C15B308" w14:textId="77777777" w:rsidR="00FB091E" w:rsidRDefault="003652F5" w:rsidP="003652F5">
      <w:pPr>
        <w:ind w:firstLine="0"/>
        <w:rPr>
          <w:b/>
        </w:rPr>
      </w:pPr>
      <w:r>
        <w:rPr>
          <w:b/>
        </w:rPr>
        <w:t>Educational I</w:t>
      </w:r>
      <w:r w:rsidR="009D2028" w:rsidRPr="007F68D7">
        <w:rPr>
          <w:b/>
        </w:rPr>
        <w:t>mplications</w:t>
      </w:r>
      <w:r>
        <w:rPr>
          <w:b/>
        </w:rPr>
        <w:t xml:space="preserve"> and Need for Further R</w:t>
      </w:r>
      <w:r w:rsidR="005D351D" w:rsidRPr="007F68D7">
        <w:rPr>
          <w:b/>
        </w:rPr>
        <w:t>esearch</w:t>
      </w:r>
    </w:p>
    <w:p w14:paraId="67822AD2" w14:textId="77777777" w:rsidR="003652F5" w:rsidRDefault="003652F5" w:rsidP="003652F5">
      <w:pPr>
        <w:ind w:firstLine="0"/>
        <w:rPr>
          <w:i/>
        </w:rPr>
      </w:pPr>
    </w:p>
    <w:p w14:paraId="07B1B04E" w14:textId="77777777" w:rsidR="00FB091E" w:rsidRDefault="00BA3043" w:rsidP="003652F5">
      <w:r w:rsidRPr="00247D8F">
        <w:t>We argue that by exploring the complex interactio</w:t>
      </w:r>
      <w:r w:rsidR="00796813" w:rsidRPr="00247D8F">
        <w:t>ns among students and the various</w:t>
      </w:r>
      <w:r w:rsidRPr="00247D8F">
        <w:t xml:space="preserve"> contexts </w:t>
      </w:r>
      <w:r w:rsidR="00796813" w:rsidRPr="00247D8F">
        <w:t xml:space="preserve">provided by school, </w:t>
      </w:r>
      <w:r w:rsidRPr="00247D8F">
        <w:t>and identifying and acknowledging</w:t>
      </w:r>
      <w:r w:rsidR="009D2028" w:rsidRPr="00247D8F">
        <w:t xml:space="preserve"> </w:t>
      </w:r>
      <w:r w:rsidR="00C06C5C" w:rsidRPr="00247D8F">
        <w:t xml:space="preserve">the </w:t>
      </w:r>
      <w:r w:rsidR="009D2028" w:rsidRPr="00247D8F">
        <w:t xml:space="preserve">positive and negative experiences of </w:t>
      </w:r>
      <w:r w:rsidRPr="00247D8F">
        <w:t xml:space="preserve">all the </w:t>
      </w:r>
      <w:r w:rsidR="009D2028" w:rsidRPr="00247D8F">
        <w:t>students</w:t>
      </w:r>
      <w:r w:rsidR="00796813" w:rsidRPr="00247D8F">
        <w:t>,</w:t>
      </w:r>
      <w:r w:rsidR="009D2028" w:rsidRPr="00247D8F">
        <w:t xml:space="preserve"> </w:t>
      </w:r>
      <w:r w:rsidRPr="00247D8F">
        <w:t>it is possible to build an engaging school environment that not only prevent</w:t>
      </w:r>
      <w:r w:rsidR="00C06C5C" w:rsidRPr="00247D8F">
        <w:t>s</w:t>
      </w:r>
      <w:r w:rsidRPr="00247D8F">
        <w:t xml:space="preserve"> loneliness and dropping out</w:t>
      </w:r>
      <w:r w:rsidR="00C06C5C" w:rsidRPr="00247D8F">
        <w:t>,</w:t>
      </w:r>
      <w:r w:rsidRPr="00247D8F">
        <w:t xml:space="preserve"> but enables </w:t>
      </w:r>
      <w:r w:rsidR="00C06C5C" w:rsidRPr="00247D8F">
        <w:t xml:space="preserve">a </w:t>
      </w:r>
      <w:r w:rsidRPr="00247D8F">
        <w:t>variety of</w:t>
      </w:r>
      <w:r w:rsidR="009D2028" w:rsidRPr="00247D8F">
        <w:t xml:space="preserve"> students to flourish </w:t>
      </w:r>
      <w:r w:rsidRPr="00247D8F">
        <w:t>(e.g., Kirkpatrick Johnson</w:t>
      </w:r>
      <w:r w:rsidR="00C06C5C" w:rsidRPr="00247D8F">
        <w:t xml:space="preserve"> et al.</w:t>
      </w:r>
      <w:r w:rsidRPr="00247D8F">
        <w:t>, 2006</w:t>
      </w:r>
      <w:r w:rsidR="00C06C5C" w:rsidRPr="00247D8F">
        <w:t>;</w:t>
      </w:r>
      <w:r w:rsidRPr="00247D8F">
        <w:t xml:space="preserve"> Salvatore et al., 2011)</w:t>
      </w:r>
      <w:r w:rsidR="009D2028" w:rsidRPr="00247D8F">
        <w:t>. As we have shown, both students</w:t>
      </w:r>
      <w:r w:rsidR="00F63CB1" w:rsidRPr="00247D8F">
        <w:t xml:space="preserve"> </w:t>
      </w:r>
      <w:r w:rsidR="009205F3" w:rsidRPr="00247D8F">
        <w:t>with special needs</w:t>
      </w:r>
      <w:r w:rsidR="009D2028" w:rsidRPr="00247D8F">
        <w:t xml:space="preserve"> and </w:t>
      </w:r>
      <w:r w:rsidR="00F63CB1" w:rsidRPr="00247D8F">
        <w:t xml:space="preserve">students attending </w:t>
      </w:r>
      <w:r w:rsidR="006F2357" w:rsidRPr="00247D8F">
        <w:t xml:space="preserve">general education </w:t>
      </w:r>
      <w:r w:rsidR="00796813" w:rsidRPr="00247D8F">
        <w:t>emphasiz</w:t>
      </w:r>
      <w:r w:rsidRPr="00247D8F">
        <w:t>e</w:t>
      </w:r>
      <w:r w:rsidR="009D2028" w:rsidRPr="00247D8F">
        <w:t xml:space="preserve"> social relationships</w:t>
      </w:r>
      <w:r w:rsidRPr="00247D8F">
        <w:t xml:space="preserve"> as</w:t>
      </w:r>
      <w:r w:rsidR="009D2028" w:rsidRPr="00247D8F">
        <w:t xml:space="preserve"> the</w:t>
      </w:r>
      <w:r w:rsidRPr="00247D8F">
        <w:t xml:space="preserve"> most important source for engagement or disengagement</w:t>
      </w:r>
      <w:r w:rsidR="009D2028" w:rsidRPr="00247D8F">
        <w:t xml:space="preserve"> at school.</w:t>
      </w:r>
      <w:r w:rsidR="005D351D" w:rsidRPr="00247D8F">
        <w:t xml:space="preserve"> However, we need</w:t>
      </w:r>
      <w:r w:rsidR="009D2028" w:rsidRPr="00247D8F">
        <w:t xml:space="preserve"> </w:t>
      </w:r>
      <w:r w:rsidR="005D351D" w:rsidRPr="00247D8F">
        <w:t xml:space="preserve">deeper understanding of the process resulting </w:t>
      </w:r>
      <w:r w:rsidR="00C06C5C" w:rsidRPr="00247D8F">
        <w:t xml:space="preserve">in </w:t>
      </w:r>
      <w:r w:rsidR="005D351D" w:rsidRPr="00247D8F">
        <w:t>the</w:t>
      </w:r>
      <w:r w:rsidR="009D2028" w:rsidRPr="00247D8F">
        <w:t xml:space="preserve"> positive and negative school experiences</w:t>
      </w:r>
      <w:r w:rsidR="00C06C5C" w:rsidRPr="00247D8F">
        <w:t>,</w:t>
      </w:r>
      <w:r w:rsidR="009D2028" w:rsidRPr="00247D8F">
        <w:t xml:space="preserve"> and the possible differences between the groups</w:t>
      </w:r>
      <w:r w:rsidR="005D351D" w:rsidRPr="00247D8F">
        <w:t xml:space="preserve">. </w:t>
      </w:r>
      <w:r w:rsidR="00E31BA0" w:rsidRPr="00247D8F">
        <w:t>Mo</w:t>
      </w:r>
      <w:r w:rsidR="00E31BA0">
        <w:t>r</w:t>
      </w:r>
      <w:r w:rsidR="00E31BA0" w:rsidRPr="00247D8F">
        <w:t>eover</w:t>
      </w:r>
      <w:r w:rsidR="005D351D" w:rsidRPr="00247D8F">
        <w:t xml:space="preserve"> it would be important to study the</w:t>
      </w:r>
      <w:r w:rsidR="009D2028" w:rsidRPr="00247D8F">
        <w:t xml:space="preserve"> role of emotional aspects </w:t>
      </w:r>
      <w:r w:rsidR="005D351D" w:rsidRPr="00247D8F">
        <w:t>of engagement</w:t>
      </w:r>
      <w:r w:rsidR="00C06C5C" w:rsidRPr="00247D8F">
        <w:t>,</w:t>
      </w:r>
      <w:r w:rsidR="005D351D" w:rsidRPr="00247D8F">
        <w:t xml:space="preserve"> and especially the experiences of joy of learning</w:t>
      </w:r>
      <w:r w:rsidR="00C06C5C" w:rsidRPr="00247D8F">
        <w:t>,</w:t>
      </w:r>
      <w:r w:rsidR="005D351D" w:rsidRPr="00247D8F">
        <w:t xml:space="preserve"> contributing to </w:t>
      </w:r>
      <w:r w:rsidR="009D2028" w:rsidRPr="00247D8F">
        <w:t>students’ learning capacity</w:t>
      </w:r>
      <w:r w:rsidR="005D351D" w:rsidRPr="00247D8F">
        <w:t xml:space="preserve"> </w:t>
      </w:r>
      <w:r w:rsidR="00B235C2" w:rsidRPr="00247D8F">
        <w:t>(</w:t>
      </w:r>
      <w:r w:rsidR="00B87F53" w:rsidRPr="00247D8F">
        <w:t xml:space="preserve">Tulis </w:t>
      </w:r>
      <w:r w:rsidR="00B235C2" w:rsidRPr="00247D8F">
        <w:t xml:space="preserve">&amp; </w:t>
      </w:r>
      <w:r w:rsidR="00B87F53" w:rsidRPr="00247D8F">
        <w:t>Fulmer, 2013</w:t>
      </w:r>
      <w:r w:rsidR="004F7F8E">
        <w:t xml:space="preserve">; </w:t>
      </w:r>
      <w:r w:rsidR="004F7F8E" w:rsidRPr="00E03064">
        <w:t>Ulmanen, 2016</w:t>
      </w:r>
      <w:r w:rsidR="00B235C2" w:rsidRPr="00E03064">
        <w:t>).</w:t>
      </w:r>
      <w:r w:rsidR="00B235C2" w:rsidRPr="00247D8F">
        <w:t xml:space="preserve"> </w:t>
      </w:r>
      <w:r w:rsidR="00B80F16" w:rsidRPr="00247D8F">
        <w:t xml:space="preserve">Moreover, in </w:t>
      </w:r>
      <w:r w:rsidR="00C06C5C" w:rsidRPr="00247D8F">
        <w:t xml:space="preserve">the </w:t>
      </w:r>
      <w:r w:rsidR="00B80F16" w:rsidRPr="00247D8F">
        <w:t>future</w:t>
      </w:r>
      <w:r w:rsidR="00C06C5C" w:rsidRPr="00247D8F">
        <w:t>,</w:t>
      </w:r>
      <w:r w:rsidR="00796813" w:rsidRPr="00247D8F">
        <w:t xml:space="preserve"> research on school drop</w:t>
      </w:r>
      <w:r w:rsidR="00C06C5C" w:rsidRPr="00247D8F">
        <w:t>-</w:t>
      </w:r>
      <w:r w:rsidR="00796813" w:rsidRPr="00247D8F">
        <w:t xml:space="preserve">out among </w:t>
      </w:r>
      <w:r w:rsidR="00B80F16" w:rsidRPr="00247D8F">
        <w:t>minority groups should also take factors such as the school’</w:t>
      </w:r>
      <w:r w:rsidR="00C06C5C" w:rsidRPr="00247D8F">
        <w:t>s</w:t>
      </w:r>
      <w:r w:rsidR="00B80F16" w:rsidRPr="00247D8F">
        <w:t xml:space="preserve"> social environment more seriously</w:t>
      </w:r>
      <w:r w:rsidR="00C06C5C" w:rsidRPr="00247D8F">
        <w:t>,</w:t>
      </w:r>
      <w:r w:rsidR="00B80F16" w:rsidRPr="00247D8F">
        <w:t xml:space="preserve"> and </w:t>
      </w:r>
      <w:r w:rsidR="00C06C5C" w:rsidRPr="00247D8F">
        <w:t xml:space="preserve">should </w:t>
      </w:r>
      <w:r w:rsidR="00B80F16" w:rsidRPr="00247D8F">
        <w:t xml:space="preserve">try to identify optimal experiences in the classroom environment for </w:t>
      </w:r>
      <w:r w:rsidR="00C06C5C" w:rsidRPr="00247D8F">
        <w:t xml:space="preserve">a </w:t>
      </w:r>
      <w:r w:rsidR="00B80F16" w:rsidRPr="00247D8F">
        <w:t>diversity of students (Doll, Eslami, &amp; Walters, 2013; Schweinle, Turner, &amp; Meyer, 2008).</w:t>
      </w:r>
      <w:r w:rsidR="00423B03">
        <w:t xml:space="preserve"> </w:t>
      </w:r>
    </w:p>
    <w:p w14:paraId="46C55709" w14:textId="77777777" w:rsidR="00FB091E" w:rsidRDefault="009F307F" w:rsidP="003652F5">
      <w:pPr>
        <w:rPr>
          <w:szCs w:val="24"/>
        </w:rPr>
      </w:pPr>
      <w:r w:rsidRPr="00B8438E">
        <w:t>Moreover,</w:t>
      </w:r>
      <w:r>
        <w:t xml:space="preserve"> t</w:t>
      </w:r>
      <w:r w:rsidR="005D351D" w:rsidRPr="00247D8F">
        <w:t xml:space="preserve">he </w:t>
      </w:r>
      <w:r w:rsidR="00796813" w:rsidRPr="00247D8F">
        <w:t>school transitions</w:t>
      </w:r>
      <w:r w:rsidR="005D351D" w:rsidRPr="00247D8F">
        <w:t xml:space="preserve"> should be taken seriously in designing learning environment</w:t>
      </w:r>
      <w:r w:rsidR="00C06C5C" w:rsidRPr="00247D8F">
        <w:t>s</w:t>
      </w:r>
      <w:r w:rsidR="005D351D" w:rsidRPr="00247D8F">
        <w:t xml:space="preserve"> and planning the learning path. </w:t>
      </w:r>
      <w:r w:rsidR="009D2028" w:rsidRPr="00247D8F">
        <w:t xml:space="preserve"> </w:t>
      </w:r>
      <w:r w:rsidR="005D351D" w:rsidRPr="00247D8F">
        <w:t xml:space="preserve">Results suggest that entering </w:t>
      </w:r>
      <w:r w:rsidR="00DE3ED1" w:rsidRPr="00247D8F">
        <w:t xml:space="preserve">school </w:t>
      </w:r>
      <w:r w:rsidR="005D351D" w:rsidRPr="00247D8F">
        <w:t xml:space="preserve">and </w:t>
      </w:r>
      <w:r w:rsidR="00C06C5C" w:rsidRPr="00247D8F">
        <w:t xml:space="preserve">the </w:t>
      </w:r>
      <w:r w:rsidR="005D351D" w:rsidRPr="00247D8F">
        <w:t>transition to upper grades form</w:t>
      </w:r>
      <w:r w:rsidR="00DE3ED1" w:rsidRPr="00247D8F">
        <w:t xml:space="preserve"> crucial phase</w:t>
      </w:r>
      <w:r w:rsidR="005D351D" w:rsidRPr="00247D8F">
        <w:t>s</w:t>
      </w:r>
      <w:r w:rsidR="00DE3ED1" w:rsidRPr="00247D8F">
        <w:t xml:space="preserve"> for </w:t>
      </w:r>
      <w:r w:rsidR="005D351D" w:rsidRPr="00247D8F">
        <w:t>relations between</w:t>
      </w:r>
      <w:r w:rsidR="00C06C5C" w:rsidRPr="00247D8F">
        <w:t xml:space="preserve"> the</w:t>
      </w:r>
      <w:r w:rsidR="005D351D" w:rsidRPr="00247D8F">
        <w:t xml:space="preserve"> student and </w:t>
      </w:r>
      <w:r w:rsidR="00C06C5C" w:rsidRPr="00247D8F">
        <w:t xml:space="preserve">the </w:t>
      </w:r>
      <w:r w:rsidR="00DE3ED1" w:rsidRPr="00247D8F">
        <w:t>school environment</w:t>
      </w:r>
      <w:r w:rsidR="005D351D" w:rsidRPr="00247D8F">
        <w:t xml:space="preserve"> and the development</w:t>
      </w:r>
      <w:r w:rsidR="00DE3ED1" w:rsidRPr="00247D8F">
        <w:t xml:space="preserve"> </w:t>
      </w:r>
      <w:r w:rsidR="00C06C5C" w:rsidRPr="00247D8F">
        <w:t>of</w:t>
      </w:r>
      <w:r w:rsidR="00DE3ED1" w:rsidRPr="00247D8F">
        <w:t xml:space="preserve"> inclusive pedagogical practices, such as designing appropriate teacher support</w:t>
      </w:r>
      <w:r w:rsidR="00C06C5C" w:rsidRPr="00247D8F">
        <w:t>,</w:t>
      </w:r>
      <w:r w:rsidR="005D351D" w:rsidRPr="00247D8F">
        <w:t xml:space="preserve"> would especially</w:t>
      </w:r>
      <w:r w:rsidR="00DE3ED1" w:rsidRPr="00247D8F">
        <w:t xml:space="preserve"> </w:t>
      </w:r>
      <w:r w:rsidR="00C06C5C" w:rsidRPr="00247D8F">
        <w:t xml:space="preserve">benefit </w:t>
      </w:r>
      <w:r w:rsidR="00DE3ED1" w:rsidRPr="00247D8F">
        <w:t xml:space="preserve">students with special needs. </w:t>
      </w:r>
      <w:r w:rsidR="00B80F16" w:rsidRPr="00247D8F">
        <w:t>Moreover</w:t>
      </w:r>
      <w:r w:rsidR="00C06C5C" w:rsidRPr="00247D8F">
        <w:t>,</w:t>
      </w:r>
      <w:r w:rsidR="00B80F16" w:rsidRPr="00247D8F">
        <w:t xml:space="preserve"> s</w:t>
      </w:r>
      <w:r w:rsidR="00981184" w:rsidRPr="00247D8F">
        <w:t xml:space="preserve">tudents value </w:t>
      </w:r>
      <w:r w:rsidR="00B80F16" w:rsidRPr="00247D8F">
        <w:t>good quality</w:t>
      </w:r>
      <w:r w:rsidR="00981184" w:rsidRPr="00247D8F">
        <w:t xml:space="preserve"> relationshi</w:t>
      </w:r>
      <w:r w:rsidR="00B80F16" w:rsidRPr="00247D8F">
        <w:t>ps with their teachers</w:t>
      </w:r>
      <w:r w:rsidR="00981184" w:rsidRPr="00247D8F">
        <w:t xml:space="preserve"> as facilitator</w:t>
      </w:r>
      <w:r w:rsidR="00C06C5C" w:rsidRPr="00247D8F">
        <w:t>s</w:t>
      </w:r>
      <w:r w:rsidR="00981184" w:rsidRPr="00247D8F">
        <w:t xml:space="preserve"> </w:t>
      </w:r>
      <w:r w:rsidR="00B80F16" w:rsidRPr="00247D8F">
        <w:rPr>
          <w:rFonts w:cs="Times New Roman"/>
        </w:rPr>
        <w:t>of their</w:t>
      </w:r>
      <w:r w:rsidR="00981184" w:rsidRPr="00247D8F">
        <w:rPr>
          <w:rFonts w:cs="Times New Roman"/>
        </w:rPr>
        <w:t xml:space="preserve"> emotional</w:t>
      </w:r>
      <w:r w:rsidR="00B80F16" w:rsidRPr="00247D8F">
        <w:rPr>
          <w:rFonts w:cs="Times New Roman"/>
        </w:rPr>
        <w:t xml:space="preserve"> engagement in school</w:t>
      </w:r>
      <w:r w:rsidR="00981184" w:rsidRPr="00247D8F">
        <w:rPr>
          <w:rFonts w:cs="Times New Roman"/>
        </w:rPr>
        <w:t xml:space="preserve">, but also as support for sustaining </w:t>
      </w:r>
      <w:r w:rsidR="00981184" w:rsidRPr="00247D8F">
        <w:t xml:space="preserve">emotional engagement in peer interaction, </w:t>
      </w:r>
      <w:r w:rsidR="00C06C5C" w:rsidRPr="00247D8F">
        <w:t>or namely</w:t>
      </w:r>
      <w:r w:rsidR="00981184" w:rsidRPr="00247D8F">
        <w:t xml:space="preserve"> the sense of belonging. </w:t>
      </w:r>
      <w:r w:rsidR="00B80F16" w:rsidRPr="00247D8F">
        <w:t xml:space="preserve">This implies that taking care of the quality of social interaction </w:t>
      </w:r>
      <w:r w:rsidR="00C06C5C" w:rsidRPr="00247D8F">
        <w:t xml:space="preserve">in </w:t>
      </w:r>
      <w:r w:rsidR="00B80F16" w:rsidRPr="00B8438E">
        <w:t>the whole school com</w:t>
      </w:r>
      <w:r w:rsidR="00796813" w:rsidRPr="00B8438E">
        <w:t xml:space="preserve">munity is </w:t>
      </w:r>
      <w:r w:rsidR="009D61C1">
        <w:t>vital</w:t>
      </w:r>
      <w:r w:rsidR="00796813" w:rsidRPr="00B8438E">
        <w:t xml:space="preserve"> for</w:t>
      </w:r>
      <w:r w:rsidR="00B80F16" w:rsidRPr="00B8438E">
        <w:t xml:space="preserve"> designing</w:t>
      </w:r>
      <w:r w:rsidR="00981184" w:rsidRPr="00B8438E">
        <w:t xml:space="preserve"> </w:t>
      </w:r>
      <w:r w:rsidR="00B80F16" w:rsidRPr="00B8438E">
        <w:t>functional</w:t>
      </w:r>
      <w:r w:rsidR="00C06C5C" w:rsidRPr="00B8438E">
        <w:t>,</w:t>
      </w:r>
      <w:r w:rsidR="00B80F16" w:rsidRPr="00B8438E">
        <w:t xml:space="preserve"> inclusive educational practices</w:t>
      </w:r>
      <w:r w:rsidR="00B8438E">
        <w:t xml:space="preserve">. </w:t>
      </w:r>
      <w:r w:rsidR="00B8438E" w:rsidRPr="00B8438E">
        <w:rPr>
          <w:szCs w:val="24"/>
        </w:rPr>
        <w:t xml:space="preserve">More specifically, in this study, according to the students, school engagement and doing well at school is primarily dependent on the extent to which </w:t>
      </w:r>
      <w:r w:rsidR="009D61C1">
        <w:rPr>
          <w:szCs w:val="24"/>
        </w:rPr>
        <w:t>they</w:t>
      </w:r>
      <w:r w:rsidR="00B8438E" w:rsidRPr="00B8438E">
        <w:rPr>
          <w:szCs w:val="24"/>
        </w:rPr>
        <w:t xml:space="preserve"> feel personally accepted, respected, and supported both by the peers and teachers, i.e. the sense of belonging. This inclusive student voice should be seriously taking account when innovative pedagogical practices for constructing the school for all are developed.    </w:t>
      </w:r>
    </w:p>
    <w:p w14:paraId="1BA8BEAD" w14:textId="77777777" w:rsidR="00FB091E" w:rsidRDefault="00FB091E" w:rsidP="003652F5">
      <w:pPr>
        <w:pStyle w:val="CommentText"/>
      </w:pPr>
    </w:p>
    <w:p w14:paraId="33A7B47C" w14:textId="77777777" w:rsidR="00FB091E" w:rsidRDefault="00FB091E" w:rsidP="003652F5">
      <w:pPr>
        <w:rPr>
          <w:szCs w:val="24"/>
        </w:rPr>
      </w:pPr>
    </w:p>
    <w:p w14:paraId="43C3D762" w14:textId="77777777" w:rsidR="00FB091E" w:rsidRDefault="00FB091E" w:rsidP="003652F5">
      <w:pPr>
        <w:rPr>
          <w:szCs w:val="24"/>
        </w:rPr>
      </w:pPr>
    </w:p>
    <w:p w14:paraId="4B2A9860" w14:textId="77777777" w:rsidR="00FB091E" w:rsidRDefault="00364109" w:rsidP="003652F5">
      <w:pPr>
        <w:pStyle w:val="Heading1"/>
        <w:spacing w:line="240" w:lineRule="auto"/>
        <w:jc w:val="center"/>
      </w:pPr>
      <w:r w:rsidRPr="007F68D7">
        <w:t>References</w:t>
      </w:r>
    </w:p>
    <w:p w14:paraId="3C24898B" w14:textId="77777777" w:rsidR="003652F5" w:rsidRPr="003652F5" w:rsidRDefault="003652F5" w:rsidP="003652F5"/>
    <w:p w14:paraId="60BD7E33" w14:textId="77777777" w:rsidR="00A7287F" w:rsidRDefault="00A7287F" w:rsidP="003652F5">
      <w:pPr>
        <w:widowControl w:val="0"/>
        <w:overflowPunct w:val="0"/>
        <w:autoSpaceDE w:val="0"/>
        <w:autoSpaceDN w:val="0"/>
        <w:adjustRightInd w:val="0"/>
        <w:ind w:left="720" w:hanging="720"/>
        <w:rPr>
          <w:i/>
          <w:szCs w:val="24"/>
          <w:lang w:eastAsia="sv-SE"/>
        </w:rPr>
      </w:pPr>
      <w:r w:rsidRPr="00247D8F">
        <w:rPr>
          <w:szCs w:val="24"/>
          <w:lang w:val="es-ES_tradnl" w:eastAsia="sv-SE"/>
        </w:rPr>
        <w:t xml:space="preserve">Aho, E., Pitkänen, K., &amp; Sahlberg, P. (2006). </w:t>
      </w:r>
      <w:r w:rsidRPr="00247D8F">
        <w:rPr>
          <w:i/>
          <w:szCs w:val="24"/>
          <w:lang w:eastAsia="sv-SE"/>
        </w:rPr>
        <w:t xml:space="preserve">Policy development and reform principles of basic and secondary education in Finland since 1968. </w:t>
      </w:r>
      <w:r w:rsidRPr="00247D8F">
        <w:rPr>
          <w:szCs w:val="24"/>
          <w:lang w:eastAsia="sv-SE"/>
        </w:rPr>
        <w:t>Finland: World Bank.</w:t>
      </w:r>
    </w:p>
    <w:p w14:paraId="609F4929" w14:textId="77777777" w:rsidR="00A7287F" w:rsidRDefault="00A7287F" w:rsidP="003652F5">
      <w:pPr>
        <w:ind w:left="720" w:hanging="720"/>
        <w:rPr>
          <w:szCs w:val="24"/>
        </w:rPr>
      </w:pPr>
      <w:r w:rsidRPr="00247D8F">
        <w:rPr>
          <w:szCs w:val="24"/>
        </w:rPr>
        <w:t xml:space="preserve">Appleton, J. J., Christenson, S. L., Kim, D., &amp; Reschly, A. (2006). Measuring cognitive and psychological engagement: Validation of the </w:t>
      </w:r>
      <w:r>
        <w:rPr>
          <w:szCs w:val="24"/>
        </w:rPr>
        <w:t>s</w:t>
      </w:r>
      <w:r w:rsidRPr="00247D8F">
        <w:rPr>
          <w:szCs w:val="24"/>
        </w:rPr>
        <w:t xml:space="preserve">tudent </w:t>
      </w:r>
      <w:r>
        <w:rPr>
          <w:szCs w:val="24"/>
        </w:rPr>
        <w:t>e</w:t>
      </w:r>
      <w:r w:rsidRPr="00247D8F">
        <w:rPr>
          <w:szCs w:val="24"/>
        </w:rPr>
        <w:t xml:space="preserve">ngagement </w:t>
      </w:r>
      <w:r>
        <w:rPr>
          <w:szCs w:val="24"/>
        </w:rPr>
        <w:t>i</w:t>
      </w:r>
      <w:r w:rsidRPr="00247D8F">
        <w:rPr>
          <w:szCs w:val="24"/>
        </w:rPr>
        <w:t xml:space="preserve">nstrument. </w:t>
      </w:r>
      <w:r w:rsidRPr="00247D8F">
        <w:rPr>
          <w:i/>
          <w:szCs w:val="24"/>
        </w:rPr>
        <w:t>Journal of School Psychology, 44</w:t>
      </w:r>
      <w:r w:rsidRPr="00247D8F">
        <w:rPr>
          <w:szCs w:val="24"/>
        </w:rPr>
        <w:t>, 427</w:t>
      </w:r>
      <w:r w:rsidRPr="00247D8F">
        <w:rPr>
          <w:i/>
          <w:szCs w:val="24"/>
        </w:rPr>
        <w:t>–</w:t>
      </w:r>
      <w:r w:rsidRPr="00247D8F">
        <w:rPr>
          <w:szCs w:val="24"/>
        </w:rPr>
        <w:t>445. doi:10.1016/j.jsp.2006.04.002</w:t>
      </w:r>
    </w:p>
    <w:p w14:paraId="59C6938B" w14:textId="77777777" w:rsidR="00A7287F" w:rsidRDefault="00A7287F" w:rsidP="003652F5">
      <w:pPr>
        <w:ind w:left="720" w:hanging="720"/>
        <w:rPr>
          <w:szCs w:val="24"/>
        </w:rPr>
      </w:pPr>
      <w:r w:rsidRPr="00247D8F">
        <w:rPr>
          <w:szCs w:val="24"/>
        </w:rPr>
        <w:t xml:space="preserve">Baglieri, S., Valle, J. W., Connor, D. J., &amp; Gallagher, D. J. (2011). Disability studies in education: The need for a plurality of perspectives on disability. </w:t>
      </w:r>
      <w:r w:rsidRPr="00247D8F">
        <w:rPr>
          <w:i/>
          <w:szCs w:val="24"/>
        </w:rPr>
        <w:t>Remedial and Special Education, 32</w:t>
      </w:r>
      <w:r w:rsidRPr="00247D8F">
        <w:rPr>
          <w:szCs w:val="24"/>
        </w:rPr>
        <w:t>(4), 267</w:t>
      </w:r>
      <w:r w:rsidRPr="00247D8F">
        <w:rPr>
          <w:i/>
          <w:szCs w:val="24"/>
        </w:rPr>
        <w:t>–</w:t>
      </w:r>
      <w:r w:rsidRPr="00247D8F">
        <w:rPr>
          <w:szCs w:val="24"/>
        </w:rPr>
        <w:t>278.</w:t>
      </w:r>
    </w:p>
    <w:p w14:paraId="321719AF" w14:textId="77777777" w:rsidR="00A7287F" w:rsidRDefault="00A7287F" w:rsidP="003652F5">
      <w:pPr>
        <w:ind w:left="720" w:hanging="720"/>
        <w:rPr>
          <w:szCs w:val="24"/>
        </w:rPr>
      </w:pPr>
      <w:r w:rsidRPr="00DD157F">
        <w:rPr>
          <w:szCs w:val="24"/>
        </w:rPr>
        <w:t>Bossaert, G., Colpin, H., Pijl, J. S., &amp; Petry, K</w:t>
      </w:r>
      <w:r>
        <w:rPr>
          <w:szCs w:val="24"/>
        </w:rPr>
        <w:t>.</w:t>
      </w:r>
      <w:r w:rsidRPr="00247D8F">
        <w:rPr>
          <w:szCs w:val="24"/>
        </w:rPr>
        <w:t xml:space="preserve"> (2012). Loneliness among students with special educational needs in mainstream seventh grade. </w:t>
      </w:r>
      <w:r w:rsidRPr="00247D8F">
        <w:rPr>
          <w:i/>
          <w:szCs w:val="24"/>
        </w:rPr>
        <w:t xml:space="preserve">Research in Developmental Disabilities, 32, </w:t>
      </w:r>
      <w:r w:rsidRPr="00247D8F">
        <w:rPr>
          <w:szCs w:val="24"/>
        </w:rPr>
        <w:t>1888</w:t>
      </w:r>
      <w:r w:rsidRPr="00247D8F">
        <w:rPr>
          <w:i/>
          <w:szCs w:val="24"/>
        </w:rPr>
        <w:t>–</w:t>
      </w:r>
      <w:r w:rsidRPr="00247D8F">
        <w:rPr>
          <w:szCs w:val="24"/>
        </w:rPr>
        <w:t>1897.</w:t>
      </w:r>
    </w:p>
    <w:p w14:paraId="3B410E6A" w14:textId="77777777" w:rsidR="00A7287F" w:rsidRDefault="00A7287F" w:rsidP="003652F5">
      <w:pPr>
        <w:ind w:left="720" w:hanging="720"/>
        <w:rPr>
          <w:szCs w:val="24"/>
        </w:rPr>
      </w:pPr>
      <w:r w:rsidRPr="00247D8F">
        <w:rPr>
          <w:szCs w:val="24"/>
        </w:rPr>
        <w:t xml:space="preserve">Carmen, B., Waycott, L., &amp; Smith, K. (2011). Rock </w:t>
      </w:r>
      <w:r>
        <w:rPr>
          <w:szCs w:val="24"/>
        </w:rPr>
        <w:t>u</w:t>
      </w:r>
      <w:r w:rsidRPr="00247D8F">
        <w:rPr>
          <w:szCs w:val="24"/>
        </w:rPr>
        <w:t xml:space="preserve">p: An initiative supporting students´ well-being in their transition to secondary school. </w:t>
      </w:r>
      <w:r w:rsidRPr="00247D8F">
        <w:rPr>
          <w:i/>
          <w:szCs w:val="24"/>
        </w:rPr>
        <w:t xml:space="preserve">Children and Youth Services Review 33, </w:t>
      </w:r>
      <w:r w:rsidRPr="00247D8F">
        <w:rPr>
          <w:szCs w:val="24"/>
        </w:rPr>
        <w:t>167</w:t>
      </w:r>
      <w:r w:rsidRPr="00247D8F">
        <w:rPr>
          <w:i/>
          <w:szCs w:val="24"/>
        </w:rPr>
        <w:t>–</w:t>
      </w:r>
      <w:r w:rsidRPr="00247D8F">
        <w:rPr>
          <w:szCs w:val="24"/>
        </w:rPr>
        <w:t>172.</w:t>
      </w:r>
    </w:p>
    <w:p w14:paraId="49D2C90E" w14:textId="77777777" w:rsidR="00A7287F" w:rsidRDefault="00A7287F" w:rsidP="003652F5">
      <w:pPr>
        <w:ind w:left="720" w:hanging="720"/>
        <w:rPr>
          <w:szCs w:val="24"/>
        </w:rPr>
      </w:pPr>
      <w:r w:rsidRPr="007C172D">
        <w:rPr>
          <w:szCs w:val="24"/>
        </w:rPr>
        <w:t xml:space="preserve">Cohen, L., &amp; Manion, L. (1990). </w:t>
      </w:r>
      <w:r w:rsidRPr="007C172D">
        <w:rPr>
          <w:i/>
          <w:szCs w:val="24"/>
        </w:rPr>
        <w:t xml:space="preserve">Research </w:t>
      </w:r>
      <w:r>
        <w:rPr>
          <w:i/>
          <w:szCs w:val="24"/>
        </w:rPr>
        <w:t>m</w:t>
      </w:r>
      <w:r w:rsidRPr="007C172D">
        <w:rPr>
          <w:i/>
          <w:szCs w:val="24"/>
        </w:rPr>
        <w:t xml:space="preserve">ethods in </w:t>
      </w:r>
      <w:r>
        <w:rPr>
          <w:i/>
          <w:szCs w:val="24"/>
        </w:rPr>
        <w:t>e</w:t>
      </w:r>
      <w:r w:rsidRPr="007C172D">
        <w:rPr>
          <w:i/>
          <w:szCs w:val="24"/>
        </w:rPr>
        <w:t xml:space="preserve">ducation </w:t>
      </w:r>
      <w:r w:rsidRPr="00DD157F">
        <w:rPr>
          <w:szCs w:val="24"/>
        </w:rPr>
        <w:t>(</w:t>
      </w:r>
      <w:r w:rsidRPr="00887A59">
        <w:rPr>
          <w:szCs w:val="24"/>
        </w:rPr>
        <w:t>3</w:t>
      </w:r>
      <w:r w:rsidRPr="007C172D">
        <w:rPr>
          <w:szCs w:val="24"/>
          <w:vertAlign w:val="superscript"/>
        </w:rPr>
        <w:t>rd</w:t>
      </w:r>
      <w:r w:rsidRPr="007C172D">
        <w:rPr>
          <w:szCs w:val="24"/>
        </w:rPr>
        <w:t xml:space="preserve"> ed.). London, Great Britain: Routledge.</w:t>
      </w:r>
    </w:p>
    <w:p w14:paraId="3678020B" w14:textId="77777777" w:rsidR="00A7287F" w:rsidRDefault="00A7287F" w:rsidP="003652F5">
      <w:pPr>
        <w:ind w:left="720" w:hanging="720"/>
        <w:rPr>
          <w:szCs w:val="24"/>
        </w:rPr>
      </w:pPr>
      <w:r w:rsidRPr="007C172D">
        <w:rPr>
          <w:szCs w:val="24"/>
        </w:rPr>
        <w:t>Cox, J. W., &amp; Hassard, J. (2007). T</w:t>
      </w:r>
      <w:r w:rsidRPr="00247D8F">
        <w:rPr>
          <w:szCs w:val="24"/>
        </w:rPr>
        <w:t xml:space="preserve">ies to the past in organization research: A comparative analysis of retrospective methods. </w:t>
      </w:r>
      <w:r w:rsidRPr="00247D8F">
        <w:rPr>
          <w:i/>
          <w:szCs w:val="24"/>
        </w:rPr>
        <w:t>Organization, 14</w:t>
      </w:r>
      <w:r w:rsidRPr="00D0582D">
        <w:rPr>
          <w:szCs w:val="24"/>
        </w:rPr>
        <w:t>(4)</w:t>
      </w:r>
      <w:r w:rsidRPr="00887A59">
        <w:rPr>
          <w:szCs w:val="24"/>
        </w:rPr>
        <w:t>,</w:t>
      </w:r>
      <w:r w:rsidRPr="00247D8F">
        <w:rPr>
          <w:szCs w:val="24"/>
        </w:rPr>
        <w:t xml:space="preserve"> 475</w:t>
      </w:r>
      <w:r w:rsidRPr="00247D8F">
        <w:rPr>
          <w:i/>
          <w:szCs w:val="24"/>
        </w:rPr>
        <w:t>–</w:t>
      </w:r>
      <w:r w:rsidRPr="00247D8F">
        <w:rPr>
          <w:szCs w:val="24"/>
        </w:rPr>
        <w:t>497.</w:t>
      </w:r>
    </w:p>
    <w:p w14:paraId="34F31F50" w14:textId="77777777" w:rsidR="00A7287F" w:rsidRDefault="00A7287F" w:rsidP="003652F5">
      <w:pPr>
        <w:ind w:left="720" w:hanging="720"/>
        <w:rPr>
          <w:szCs w:val="24"/>
        </w:rPr>
      </w:pPr>
      <w:r w:rsidRPr="00247D8F">
        <w:rPr>
          <w:szCs w:val="24"/>
        </w:rPr>
        <w:t xml:space="preserve">Doll, J. J., Eslami, Z., &amp; Walters, L. (2013). Understanding </w:t>
      </w:r>
      <w:r>
        <w:rPr>
          <w:szCs w:val="24"/>
        </w:rPr>
        <w:t>w</w:t>
      </w:r>
      <w:r w:rsidRPr="00247D8F">
        <w:rPr>
          <w:szCs w:val="24"/>
        </w:rPr>
        <w:t xml:space="preserve">hy </w:t>
      </w:r>
      <w:r>
        <w:rPr>
          <w:szCs w:val="24"/>
        </w:rPr>
        <w:t>s</w:t>
      </w:r>
      <w:r w:rsidRPr="00247D8F">
        <w:rPr>
          <w:szCs w:val="24"/>
        </w:rPr>
        <w:t xml:space="preserve">tudents </w:t>
      </w:r>
      <w:r>
        <w:rPr>
          <w:szCs w:val="24"/>
        </w:rPr>
        <w:t>d</w:t>
      </w:r>
      <w:r w:rsidRPr="00247D8F">
        <w:rPr>
          <w:szCs w:val="24"/>
        </w:rPr>
        <w:t xml:space="preserve">rop </w:t>
      </w:r>
      <w:r>
        <w:rPr>
          <w:szCs w:val="24"/>
        </w:rPr>
        <w:t>o</w:t>
      </w:r>
      <w:r w:rsidRPr="00247D8F">
        <w:rPr>
          <w:szCs w:val="24"/>
        </w:rPr>
        <w:t xml:space="preserve">ut of </w:t>
      </w:r>
      <w:r>
        <w:rPr>
          <w:szCs w:val="24"/>
        </w:rPr>
        <w:t>h</w:t>
      </w:r>
      <w:r w:rsidRPr="00247D8F">
        <w:rPr>
          <w:szCs w:val="24"/>
        </w:rPr>
        <w:t xml:space="preserve">igh </w:t>
      </w:r>
      <w:r>
        <w:rPr>
          <w:szCs w:val="24"/>
        </w:rPr>
        <w:t>s</w:t>
      </w:r>
      <w:r w:rsidRPr="00247D8F">
        <w:rPr>
          <w:szCs w:val="24"/>
        </w:rPr>
        <w:t xml:space="preserve">chool, </w:t>
      </w:r>
      <w:r>
        <w:rPr>
          <w:szCs w:val="24"/>
        </w:rPr>
        <w:t>a</w:t>
      </w:r>
      <w:r w:rsidRPr="00247D8F">
        <w:rPr>
          <w:szCs w:val="24"/>
        </w:rPr>
        <w:t xml:space="preserve">ccording to </w:t>
      </w:r>
      <w:r>
        <w:rPr>
          <w:szCs w:val="24"/>
        </w:rPr>
        <w:t>t</w:t>
      </w:r>
      <w:r w:rsidRPr="00247D8F">
        <w:rPr>
          <w:szCs w:val="24"/>
        </w:rPr>
        <w:t xml:space="preserve">heir </w:t>
      </w:r>
      <w:r>
        <w:rPr>
          <w:szCs w:val="24"/>
        </w:rPr>
        <w:t>o</w:t>
      </w:r>
      <w:r w:rsidRPr="00247D8F">
        <w:rPr>
          <w:szCs w:val="24"/>
        </w:rPr>
        <w:t xml:space="preserve">wn </w:t>
      </w:r>
      <w:r>
        <w:rPr>
          <w:szCs w:val="24"/>
        </w:rPr>
        <w:t>r</w:t>
      </w:r>
      <w:r w:rsidRPr="00247D8F">
        <w:rPr>
          <w:szCs w:val="24"/>
        </w:rPr>
        <w:t xml:space="preserve">eports: Are </w:t>
      </w:r>
      <w:r>
        <w:rPr>
          <w:szCs w:val="24"/>
        </w:rPr>
        <w:t>t</w:t>
      </w:r>
      <w:r w:rsidRPr="00247D8F">
        <w:rPr>
          <w:szCs w:val="24"/>
        </w:rPr>
        <w:t xml:space="preserve">hey </w:t>
      </w:r>
      <w:r>
        <w:rPr>
          <w:szCs w:val="24"/>
        </w:rPr>
        <w:t>p</w:t>
      </w:r>
      <w:r w:rsidRPr="00247D8F">
        <w:rPr>
          <w:szCs w:val="24"/>
        </w:rPr>
        <w:t xml:space="preserve">ushed or </w:t>
      </w:r>
      <w:r>
        <w:rPr>
          <w:szCs w:val="24"/>
        </w:rPr>
        <w:t>p</w:t>
      </w:r>
      <w:r w:rsidRPr="00247D8F">
        <w:rPr>
          <w:szCs w:val="24"/>
        </w:rPr>
        <w:t xml:space="preserve">ulled, or </w:t>
      </w:r>
      <w:r>
        <w:rPr>
          <w:szCs w:val="24"/>
        </w:rPr>
        <w:t>d</w:t>
      </w:r>
      <w:r w:rsidRPr="00247D8F">
        <w:rPr>
          <w:szCs w:val="24"/>
        </w:rPr>
        <w:t xml:space="preserve">o </w:t>
      </w:r>
      <w:r>
        <w:rPr>
          <w:szCs w:val="24"/>
        </w:rPr>
        <w:t>t</w:t>
      </w:r>
      <w:r w:rsidRPr="00247D8F">
        <w:rPr>
          <w:szCs w:val="24"/>
        </w:rPr>
        <w:t xml:space="preserve">hey </w:t>
      </w:r>
      <w:r>
        <w:rPr>
          <w:szCs w:val="24"/>
        </w:rPr>
        <w:t>f</w:t>
      </w:r>
      <w:r w:rsidRPr="00247D8F">
        <w:rPr>
          <w:szCs w:val="24"/>
        </w:rPr>
        <w:t xml:space="preserve">all </w:t>
      </w:r>
      <w:r>
        <w:rPr>
          <w:szCs w:val="24"/>
        </w:rPr>
        <w:t>o</w:t>
      </w:r>
      <w:r w:rsidRPr="00247D8F">
        <w:rPr>
          <w:szCs w:val="24"/>
        </w:rPr>
        <w:t xml:space="preserve">ut? A </w:t>
      </w:r>
      <w:r>
        <w:rPr>
          <w:szCs w:val="24"/>
        </w:rPr>
        <w:t>c</w:t>
      </w:r>
      <w:r w:rsidRPr="00247D8F">
        <w:rPr>
          <w:szCs w:val="24"/>
        </w:rPr>
        <w:t xml:space="preserve">omparative </w:t>
      </w:r>
      <w:r>
        <w:rPr>
          <w:szCs w:val="24"/>
        </w:rPr>
        <w:t>a</w:t>
      </w:r>
      <w:r w:rsidRPr="00247D8F">
        <w:rPr>
          <w:szCs w:val="24"/>
        </w:rPr>
        <w:t xml:space="preserve">nalysis of </w:t>
      </w:r>
      <w:r>
        <w:rPr>
          <w:szCs w:val="24"/>
        </w:rPr>
        <w:t>se</w:t>
      </w:r>
      <w:r w:rsidRPr="00247D8F">
        <w:rPr>
          <w:szCs w:val="24"/>
        </w:rPr>
        <w:t xml:space="preserve">ven </w:t>
      </w:r>
      <w:r>
        <w:rPr>
          <w:szCs w:val="24"/>
        </w:rPr>
        <w:t>na</w:t>
      </w:r>
      <w:r w:rsidRPr="00247D8F">
        <w:rPr>
          <w:szCs w:val="24"/>
        </w:rPr>
        <w:t xml:space="preserve">tionally </w:t>
      </w:r>
      <w:r>
        <w:rPr>
          <w:szCs w:val="24"/>
        </w:rPr>
        <w:t>r</w:t>
      </w:r>
      <w:r w:rsidRPr="00247D8F">
        <w:rPr>
          <w:szCs w:val="24"/>
        </w:rPr>
        <w:t xml:space="preserve">epresentative </w:t>
      </w:r>
      <w:r>
        <w:rPr>
          <w:szCs w:val="24"/>
        </w:rPr>
        <w:t>s</w:t>
      </w:r>
      <w:r w:rsidRPr="00247D8F">
        <w:rPr>
          <w:szCs w:val="24"/>
        </w:rPr>
        <w:t xml:space="preserve">tudies. </w:t>
      </w:r>
      <w:r w:rsidRPr="00247D8F">
        <w:rPr>
          <w:i/>
          <w:szCs w:val="24"/>
        </w:rPr>
        <w:t>SAGE Open</w:t>
      </w:r>
      <w:r w:rsidRPr="00247D8F">
        <w:rPr>
          <w:szCs w:val="24"/>
        </w:rPr>
        <w:t>, 1</w:t>
      </w:r>
      <w:r w:rsidRPr="00247D8F">
        <w:rPr>
          <w:i/>
          <w:szCs w:val="24"/>
        </w:rPr>
        <w:t>–</w:t>
      </w:r>
      <w:r w:rsidRPr="00247D8F">
        <w:rPr>
          <w:szCs w:val="24"/>
        </w:rPr>
        <w:t>15.  doi: 10.1177/2158244013503834</w:t>
      </w:r>
    </w:p>
    <w:p w14:paraId="6E050631" w14:textId="77777777" w:rsidR="00A7287F" w:rsidRDefault="00A7287F" w:rsidP="003652F5">
      <w:pPr>
        <w:ind w:left="720" w:hanging="720"/>
        <w:rPr>
          <w:rFonts w:cs="Times New Roman"/>
          <w:szCs w:val="24"/>
        </w:rPr>
      </w:pPr>
      <w:r w:rsidRPr="00247D8F">
        <w:rPr>
          <w:szCs w:val="24"/>
        </w:rPr>
        <w:t>Eccles, J. S. (2004). Schools, academic motivation, and stage-environment fit. In R.M</w:t>
      </w:r>
      <w:r w:rsidRPr="00247D8F">
        <w:rPr>
          <w:rFonts w:cs="Times New Roman"/>
          <w:szCs w:val="24"/>
        </w:rPr>
        <w:t>. L</w:t>
      </w:r>
      <w:r w:rsidRPr="00247D8F">
        <w:rPr>
          <w:rStyle w:val="algo-summary"/>
          <w:rFonts w:cs="Times New Roman"/>
          <w:szCs w:val="24"/>
        </w:rPr>
        <w:t xml:space="preserve">erner &amp; L. Steinberg (Eds.), </w:t>
      </w:r>
      <w:r w:rsidRPr="00247D8F">
        <w:rPr>
          <w:rStyle w:val="algo-summary"/>
          <w:rFonts w:cs="Times New Roman"/>
          <w:i/>
          <w:szCs w:val="24"/>
        </w:rPr>
        <w:t xml:space="preserve">Handbook of </w:t>
      </w:r>
      <w:r>
        <w:rPr>
          <w:rStyle w:val="algo-summary"/>
          <w:rFonts w:cs="Times New Roman"/>
          <w:i/>
          <w:szCs w:val="24"/>
        </w:rPr>
        <w:t>a</w:t>
      </w:r>
      <w:r w:rsidRPr="00247D8F">
        <w:rPr>
          <w:rStyle w:val="algo-summary"/>
          <w:rFonts w:cs="Times New Roman"/>
          <w:i/>
          <w:szCs w:val="24"/>
        </w:rPr>
        <w:t xml:space="preserve">dolescent </w:t>
      </w:r>
      <w:r>
        <w:rPr>
          <w:rStyle w:val="algo-summary"/>
          <w:rFonts w:cs="Times New Roman"/>
          <w:i/>
          <w:szCs w:val="24"/>
        </w:rPr>
        <w:t>p</w:t>
      </w:r>
      <w:r w:rsidRPr="00247D8F">
        <w:rPr>
          <w:rStyle w:val="algo-summary"/>
          <w:rFonts w:cs="Times New Roman"/>
          <w:i/>
          <w:szCs w:val="24"/>
        </w:rPr>
        <w:t>sychology</w:t>
      </w:r>
      <w:r w:rsidRPr="00247D8F">
        <w:rPr>
          <w:rStyle w:val="algo-summary"/>
          <w:rFonts w:cs="Times New Roman"/>
          <w:szCs w:val="24"/>
        </w:rPr>
        <w:t xml:space="preserve"> (2</w:t>
      </w:r>
      <w:r w:rsidRPr="00247D8F">
        <w:rPr>
          <w:rStyle w:val="algo-summary"/>
          <w:rFonts w:cs="Times New Roman"/>
          <w:szCs w:val="24"/>
          <w:vertAlign w:val="superscript"/>
        </w:rPr>
        <w:t>nd</w:t>
      </w:r>
      <w:r w:rsidRPr="00247D8F">
        <w:rPr>
          <w:rStyle w:val="algo-summary"/>
          <w:rFonts w:cs="Times New Roman"/>
          <w:szCs w:val="24"/>
        </w:rPr>
        <w:t xml:space="preserve"> ed., pp.</w:t>
      </w:r>
      <w:r w:rsidRPr="00247D8F">
        <w:rPr>
          <w:rFonts w:cs="Times New Roman"/>
          <w:szCs w:val="24"/>
        </w:rPr>
        <w:t xml:space="preserve"> 125</w:t>
      </w:r>
      <w:r w:rsidRPr="00247D8F">
        <w:rPr>
          <w:i/>
          <w:szCs w:val="24"/>
        </w:rPr>
        <w:t>–</w:t>
      </w:r>
      <w:r w:rsidRPr="00247D8F">
        <w:rPr>
          <w:rFonts w:cs="Times New Roman"/>
          <w:szCs w:val="24"/>
        </w:rPr>
        <w:t>153). Hoboken, New Jersey: Wiley.</w:t>
      </w:r>
    </w:p>
    <w:p w14:paraId="51CB869A" w14:textId="77777777" w:rsidR="00A7287F" w:rsidRDefault="00A7287F" w:rsidP="003652F5">
      <w:pPr>
        <w:ind w:left="720" w:hanging="720"/>
        <w:rPr>
          <w:szCs w:val="24"/>
        </w:rPr>
      </w:pPr>
      <w:r w:rsidRPr="00247D8F">
        <w:rPr>
          <w:szCs w:val="24"/>
        </w:rPr>
        <w:t>Faircloth, B. S. (2009). Making the most of adolescence</w:t>
      </w:r>
      <w:r>
        <w:rPr>
          <w:szCs w:val="24"/>
        </w:rPr>
        <w:t>:</w:t>
      </w:r>
      <w:r w:rsidRPr="00247D8F">
        <w:rPr>
          <w:szCs w:val="24"/>
        </w:rPr>
        <w:t xml:space="preserve"> Harnessing the search for identity to understand classroom belonging</w:t>
      </w:r>
      <w:r w:rsidRPr="00247D8F">
        <w:rPr>
          <w:i/>
          <w:szCs w:val="24"/>
        </w:rPr>
        <w:t>. Journal of Adolescent Research,</w:t>
      </w:r>
      <w:r w:rsidRPr="00247D8F">
        <w:rPr>
          <w:szCs w:val="24"/>
        </w:rPr>
        <w:t xml:space="preserve"> </w:t>
      </w:r>
      <w:r w:rsidRPr="00247D8F">
        <w:rPr>
          <w:i/>
          <w:szCs w:val="24"/>
        </w:rPr>
        <w:t>24</w:t>
      </w:r>
      <w:r w:rsidRPr="004B1A9D">
        <w:rPr>
          <w:szCs w:val="24"/>
        </w:rPr>
        <w:t>(</w:t>
      </w:r>
      <w:r w:rsidRPr="00887A59">
        <w:rPr>
          <w:szCs w:val="24"/>
        </w:rPr>
        <w:t>3</w:t>
      </w:r>
      <w:r w:rsidRPr="00247D8F">
        <w:rPr>
          <w:szCs w:val="24"/>
        </w:rPr>
        <w:t>), 321</w:t>
      </w:r>
      <w:r w:rsidRPr="00247D8F">
        <w:rPr>
          <w:i/>
          <w:szCs w:val="24"/>
        </w:rPr>
        <w:t>–</w:t>
      </w:r>
      <w:r w:rsidRPr="00247D8F">
        <w:rPr>
          <w:szCs w:val="24"/>
        </w:rPr>
        <w:t>348. doi:10.1177/0743558409334248</w:t>
      </w:r>
    </w:p>
    <w:p w14:paraId="07F7A514" w14:textId="77777777" w:rsidR="00A7287F" w:rsidRDefault="00A7287F" w:rsidP="003652F5">
      <w:pPr>
        <w:ind w:left="720" w:hanging="720"/>
        <w:rPr>
          <w:szCs w:val="24"/>
        </w:rPr>
      </w:pPr>
      <w:r w:rsidRPr="00247D8F">
        <w:rPr>
          <w:szCs w:val="24"/>
        </w:rPr>
        <w:t xml:space="preserve">Farrell, P., Dyson, A., Polat, F., Hutcheson, G., &amp; Gallannaugh, F. (2007). Inclusion and achievement in mainstream schools. </w:t>
      </w:r>
      <w:r w:rsidRPr="00247D8F">
        <w:rPr>
          <w:i/>
          <w:szCs w:val="24"/>
        </w:rPr>
        <w:t>European Journal of Special Needs Education, 22</w:t>
      </w:r>
      <w:r w:rsidRPr="00247D8F">
        <w:rPr>
          <w:szCs w:val="24"/>
        </w:rPr>
        <w:t>(2), 131</w:t>
      </w:r>
      <w:r w:rsidRPr="00247D8F">
        <w:rPr>
          <w:i/>
          <w:szCs w:val="24"/>
        </w:rPr>
        <w:t>–</w:t>
      </w:r>
      <w:r w:rsidRPr="00247D8F">
        <w:rPr>
          <w:szCs w:val="24"/>
        </w:rPr>
        <w:t>145.</w:t>
      </w:r>
    </w:p>
    <w:p w14:paraId="4284AFA8" w14:textId="77777777" w:rsidR="00A7287F" w:rsidRDefault="00A7287F" w:rsidP="003652F5">
      <w:pPr>
        <w:ind w:left="720" w:hanging="720"/>
        <w:rPr>
          <w:szCs w:val="24"/>
        </w:rPr>
      </w:pPr>
      <w:r w:rsidRPr="00247D8F">
        <w:rPr>
          <w:szCs w:val="24"/>
          <w:lang w:val="sv-SE"/>
        </w:rPr>
        <w:t>Finn, J. D</w:t>
      </w:r>
      <w:r w:rsidRPr="00663A89">
        <w:rPr>
          <w:szCs w:val="24"/>
          <w:lang w:val="sv-SE"/>
        </w:rPr>
        <w:t>., &amp; Rock,</w:t>
      </w:r>
      <w:r w:rsidRPr="00247D8F">
        <w:rPr>
          <w:szCs w:val="24"/>
          <w:lang w:val="sv-SE"/>
        </w:rPr>
        <w:t xml:space="preserve"> D. A. (1997). </w:t>
      </w:r>
      <w:r w:rsidRPr="00247D8F">
        <w:rPr>
          <w:szCs w:val="24"/>
        </w:rPr>
        <w:t xml:space="preserve">Academic success among students at risk for school failure. </w:t>
      </w:r>
      <w:r w:rsidRPr="00247D8F">
        <w:rPr>
          <w:i/>
          <w:szCs w:val="24"/>
        </w:rPr>
        <w:t>Journal of Applied Psychology</w:t>
      </w:r>
      <w:r w:rsidRPr="00247D8F">
        <w:rPr>
          <w:szCs w:val="24"/>
        </w:rPr>
        <w:t xml:space="preserve">, </w:t>
      </w:r>
      <w:r w:rsidRPr="00247D8F">
        <w:rPr>
          <w:i/>
          <w:szCs w:val="24"/>
        </w:rPr>
        <w:t>82</w:t>
      </w:r>
      <w:r w:rsidRPr="004B1A9D">
        <w:rPr>
          <w:szCs w:val="24"/>
        </w:rPr>
        <w:t>(</w:t>
      </w:r>
      <w:r w:rsidRPr="00247D8F">
        <w:rPr>
          <w:szCs w:val="24"/>
        </w:rPr>
        <w:t>2), 221</w:t>
      </w:r>
      <w:r w:rsidRPr="00247D8F">
        <w:rPr>
          <w:i/>
          <w:szCs w:val="24"/>
        </w:rPr>
        <w:t>–</w:t>
      </w:r>
      <w:r w:rsidRPr="00247D8F">
        <w:rPr>
          <w:szCs w:val="24"/>
        </w:rPr>
        <w:t>234.</w:t>
      </w:r>
    </w:p>
    <w:p w14:paraId="77538D21" w14:textId="77777777" w:rsidR="00A7287F" w:rsidRDefault="00A7287F" w:rsidP="003652F5">
      <w:pPr>
        <w:ind w:left="720" w:hanging="720"/>
        <w:rPr>
          <w:szCs w:val="24"/>
        </w:rPr>
      </w:pPr>
      <w:r w:rsidRPr="00247D8F">
        <w:rPr>
          <w:szCs w:val="24"/>
        </w:rPr>
        <w:t xml:space="preserve">Fredricks, J. </w:t>
      </w:r>
      <w:r w:rsidRPr="00663A89">
        <w:rPr>
          <w:szCs w:val="24"/>
        </w:rPr>
        <w:t>A., Blumenfield</w:t>
      </w:r>
      <w:r w:rsidRPr="00247D8F">
        <w:rPr>
          <w:szCs w:val="24"/>
        </w:rPr>
        <w:t>, P. C., &amp; Paris, A. H. (2004). School engagement: Potential of the concept, state of the evidence</w:t>
      </w:r>
      <w:r w:rsidRPr="00247D8F">
        <w:rPr>
          <w:i/>
          <w:szCs w:val="24"/>
        </w:rPr>
        <w:t>. Review of Educational Research</w:t>
      </w:r>
      <w:r w:rsidRPr="00247D8F">
        <w:rPr>
          <w:szCs w:val="24"/>
        </w:rPr>
        <w:t xml:space="preserve">, </w:t>
      </w:r>
      <w:r w:rsidRPr="00247D8F">
        <w:rPr>
          <w:i/>
          <w:szCs w:val="24"/>
        </w:rPr>
        <w:t>74</w:t>
      </w:r>
      <w:r w:rsidRPr="00247D8F">
        <w:rPr>
          <w:szCs w:val="24"/>
        </w:rPr>
        <w:t>(1), 59</w:t>
      </w:r>
      <w:r w:rsidRPr="00247D8F">
        <w:rPr>
          <w:i/>
          <w:szCs w:val="24"/>
        </w:rPr>
        <w:t>–</w:t>
      </w:r>
      <w:r w:rsidRPr="00247D8F">
        <w:rPr>
          <w:szCs w:val="24"/>
        </w:rPr>
        <w:t>109.</w:t>
      </w:r>
    </w:p>
    <w:p w14:paraId="5B5A27AB" w14:textId="77777777" w:rsidR="00A7287F" w:rsidRDefault="00A7287F" w:rsidP="003652F5">
      <w:pPr>
        <w:ind w:left="720" w:hanging="720"/>
        <w:rPr>
          <w:szCs w:val="24"/>
        </w:rPr>
      </w:pPr>
      <w:r w:rsidRPr="00247D8F">
        <w:rPr>
          <w:szCs w:val="24"/>
        </w:rPr>
        <w:t xml:space="preserve">Furlong, M. J., </w:t>
      </w:r>
      <w:r>
        <w:rPr>
          <w:szCs w:val="24"/>
        </w:rPr>
        <w:t xml:space="preserve">&amp; </w:t>
      </w:r>
      <w:r w:rsidRPr="00247D8F">
        <w:rPr>
          <w:szCs w:val="24"/>
        </w:rPr>
        <w:t xml:space="preserve">Christenson, S. L. (2008). Engaging students at school and with learning: </w:t>
      </w:r>
      <w:r>
        <w:rPr>
          <w:szCs w:val="24"/>
        </w:rPr>
        <w:t>A</w:t>
      </w:r>
      <w:r w:rsidRPr="00247D8F">
        <w:rPr>
          <w:szCs w:val="24"/>
        </w:rPr>
        <w:t xml:space="preserve"> relevant construct for all students</w:t>
      </w:r>
      <w:r w:rsidRPr="00247D8F">
        <w:rPr>
          <w:i/>
          <w:szCs w:val="24"/>
        </w:rPr>
        <w:t>. Psychology in the Schools</w:t>
      </w:r>
      <w:r w:rsidRPr="00247D8F">
        <w:rPr>
          <w:szCs w:val="24"/>
        </w:rPr>
        <w:t xml:space="preserve">, </w:t>
      </w:r>
      <w:r w:rsidRPr="00247D8F">
        <w:rPr>
          <w:i/>
          <w:szCs w:val="24"/>
        </w:rPr>
        <w:t>45</w:t>
      </w:r>
      <w:r w:rsidRPr="00247D8F">
        <w:rPr>
          <w:szCs w:val="24"/>
        </w:rPr>
        <w:t>(5), 365</w:t>
      </w:r>
      <w:r w:rsidRPr="00247D8F">
        <w:rPr>
          <w:i/>
          <w:szCs w:val="24"/>
        </w:rPr>
        <w:t>–</w:t>
      </w:r>
      <w:r w:rsidRPr="00247D8F">
        <w:rPr>
          <w:szCs w:val="24"/>
        </w:rPr>
        <w:t>368. doi:10.1037/0022-0663.95.1.148</w:t>
      </w:r>
    </w:p>
    <w:p w14:paraId="2CB0AE8D" w14:textId="77777777" w:rsidR="00A7287F" w:rsidRDefault="00A7287F" w:rsidP="003652F5">
      <w:pPr>
        <w:ind w:left="720" w:hanging="720"/>
        <w:rPr>
          <w:szCs w:val="24"/>
        </w:rPr>
      </w:pPr>
      <w:r w:rsidRPr="00247D8F">
        <w:rPr>
          <w:szCs w:val="24"/>
        </w:rPr>
        <w:t xml:space="preserve">Furrer, </w:t>
      </w:r>
      <w:r w:rsidRPr="00663A89">
        <w:rPr>
          <w:szCs w:val="24"/>
        </w:rPr>
        <w:t xml:space="preserve">C., &amp; Skinner, E. (2003). Sense of relatedness as a factor in children´s academic engagement and performance. </w:t>
      </w:r>
      <w:r w:rsidRPr="00663A89">
        <w:rPr>
          <w:i/>
          <w:szCs w:val="24"/>
        </w:rPr>
        <w:t>Journal of Educational Psychology, 95</w:t>
      </w:r>
      <w:r w:rsidRPr="00663A89">
        <w:rPr>
          <w:szCs w:val="24"/>
        </w:rPr>
        <w:t>(1), 148</w:t>
      </w:r>
      <w:r w:rsidRPr="00247D8F">
        <w:rPr>
          <w:i/>
          <w:szCs w:val="24"/>
        </w:rPr>
        <w:t>–</w:t>
      </w:r>
      <w:r w:rsidRPr="00663A89">
        <w:rPr>
          <w:szCs w:val="24"/>
        </w:rPr>
        <w:t xml:space="preserve">162. </w:t>
      </w:r>
    </w:p>
    <w:p w14:paraId="1125327D" w14:textId="77777777" w:rsidR="00A7287F" w:rsidRDefault="00A7287F" w:rsidP="003652F5">
      <w:pPr>
        <w:autoSpaceDE w:val="0"/>
        <w:autoSpaceDN w:val="0"/>
        <w:adjustRightInd w:val="0"/>
        <w:ind w:left="720" w:hanging="720"/>
        <w:rPr>
          <w:color w:val="231F20"/>
          <w:szCs w:val="24"/>
          <w:lang w:eastAsia="sv-SE"/>
        </w:rPr>
      </w:pPr>
      <w:r w:rsidRPr="00663A89">
        <w:rPr>
          <w:color w:val="231F20"/>
          <w:szCs w:val="24"/>
          <w:lang w:eastAsia="sv-SE"/>
        </w:rPr>
        <w:t>Gonida, E., Voulala, K., &amp; Kiosseoglou, G</w:t>
      </w:r>
      <w:r w:rsidRPr="00451287">
        <w:rPr>
          <w:color w:val="231F20"/>
          <w:szCs w:val="24"/>
          <w:lang w:eastAsia="sv-SE"/>
        </w:rPr>
        <w:t xml:space="preserve">. (2009). </w:t>
      </w:r>
      <w:r w:rsidRPr="00247D8F">
        <w:rPr>
          <w:color w:val="231F20"/>
          <w:szCs w:val="24"/>
          <w:lang w:eastAsia="sv-SE"/>
        </w:rPr>
        <w:t>Students' achievement goal orientations and their behavioral and emotional engagement: Co-examining the role of perceived school goal</w:t>
      </w:r>
      <w:r w:rsidRPr="003F0FA3">
        <w:rPr>
          <w:color w:val="231F20"/>
          <w:szCs w:val="24"/>
          <w:lang w:eastAsia="sv-SE"/>
        </w:rPr>
        <w:t xml:space="preserve"> </w:t>
      </w:r>
      <w:r w:rsidRPr="00247D8F">
        <w:rPr>
          <w:color w:val="231F20"/>
          <w:szCs w:val="24"/>
          <w:lang w:eastAsia="sv-SE"/>
        </w:rPr>
        <w:t xml:space="preserve">structures and parent </w:t>
      </w:r>
      <w:r w:rsidRPr="00247D8F">
        <w:rPr>
          <w:rFonts w:cs="Times New Roman"/>
          <w:szCs w:val="24"/>
        </w:rPr>
        <w:t xml:space="preserve">goals during adolescence. </w:t>
      </w:r>
      <w:r w:rsidRPr="004B1A9D">
        <w:rPr>
          <w:rFonts w:cs="Times New Roman"/>
          <w:i/>
          <w:szCs w:val="24"/>
        </w:rPr>
        <w:t>School</w:t>
      </w:r>
      <w:r w:rsidRPr="00887A59">
        <w:rPr>
          <w:i/>
          <w:color w:val="231F20"/>
          <w:szCs w:val="24"/>
          <w:lang w:eastAsia="sv-SE"/>
        </w:rPr>
        <w:t xml:space="preserve"> </w:t>
      </w:r>
      <w:r w:rsidRPr="00247D8F">
        <w:rPr>
          <w:i/>
          <w:color w:val="231F20"/>
          <w:szCs w:val="24"/>
          <w:lang w:eastAsia="sv-SE"/>
        </w:rPr>
        <w:t>of Psychology. Learning and Individual Differences, 19</w:t>
      </w:r>
      <w:r w:rsidRPr="00247D8F">
        <w:rPr>
          <w:color w:val="231F20"/>
          <w:szCs w:val="24"/>
          <w:lang w:eastAsia="sv-SE"/>
        </w:rPr>
        <w:t>, 53–60.</w:t>
      </w:r>
      <w:r>
        <w:rPr>
          <w:color w:val="231F20"/>
          <w:szCs w:val="24"/>
          <w:lang w:eastAsia="sv-SE"/>
        </w:rPr>
        <w:t xml:space="preserve">         </w:t>
      </w:r>
    </w:p>
    <w:p w14:paraId="5B0EA207" w14:textId="77777777" w:rsidR="00A7287F" w:rsidRDefault="00A7287F" w:rsidP="003652F5">
      <w:pPr>
        <w:autoSpaceDE w:val="0"/>
        <w:autoSpaceDN w:val="0"/>
        <w:adjustRightInd w:val="0"/>
        <w:ind w:left="720" w:hanging="720"/>
        <w:rPr>
          <w:szCs w:val="24"/>
        </w:rPr>
      </w:pPr>
      <w:r>
        <w:rPr>
          <w:color w:val="231F20"/>
          <w:szCs w:val="24"/>
          <w:lang w:eastAsia="sv-SE"/>
        </w:rPr>
        <w:t xml:space="preserve">Goodenow, C. (1993). The psychological sense of school membership among adolescents: Scale development and educational correlates. </w:t>
      </w:r>
      <w:r>
        <w:rPr>
          <w:i/>
          <w:color w:val="231F20"/>
          <w:szCs w:val="24"/>
          <w:lang w:eastAsia="sv-SE"/>
        </w:rPr>
        <w:t>Psychology in the Schools, 30</w:t>
      </w:r>
      <w:r>
        <w:rPr>
          <w:color w:val="231F20"/>
          <w:szCs w:val="24"/>
          <w:lang w:eastAsia="sv-SE"/>
        </w:rPr>
        <w:t>(1),     79</w:t>
      </w:r>
      <w:r w:rsidRPr="00247D8F">
        <w:rPr>
          <w:i/>
          <w:szCs w:val="24"/>
        </w:rPr>
        <w:t>–</w:t>
      </w:r>
      <w:r>
        <w:rPr>
          <w:color w:val="231F20"/>
          <w:szCs w:val="24"/>
          <w:lang w:eastAsia="sv-SE"/>
        </w:rPr>
        <w:t>90. doi:10.1002/1520-6807(199301)30:1&lt;79::AID-PITS2310300113&gt;3.0.CO;2-X</w:t>
      </w:r>
    </w:p>
    <w:p w14:paraId="5B6ABE5C" w14:textId="77777777" w:rsidR="00A7287F" w:rsidRDefault="00A7287F" w:rsidP="003652F5">
      <w:pPr>
        <w:ind w:left="720" w:hanging="720"/>
        <w:rPr>
          <w:szCs w:val="24"/>
        </w:rPr>
      </w:pPr>
      <w:r w:rsidRPr="00247D8F">
        <w:rPr>
          <w:szCs w:val="24"/>
        </w:rPr>
        <w:lastRenderedPageBreak/>
        <w:t xml:space="preserve">Grotevant, H. D., Wrobel, G. M., Dulmen van, M. H., &amp; Mcroy, R. G. (2001). The emergence of psychosocial engagement in adopted adolescents: The family as context over time. </w:t>
      </w:r>
      <w:r w:rsidRPr="001501E9">
        <w:rPr>
          <w:i/>
          <w:szCs w:val="24"/>
        </w:rPr>
        <w:t xml:space="preserve">Journal of Adolescent Research, </w:t>
      </w:r>
      <w:r w:rsidRPr="00247D8F">
        <w:rPr>
          <w:i/>
          <w:szCs w:val="24"/>
        </w:rPr>
        <w:t>16</w:t>
      </w:r>
      <w:r w:rsidRPr="00247D8F">
        <w:rPr>
          <w:szCs w:val="24"/>
        </w:rPr>
        <w:t>(5), 469</w:t>
      </w:r>
      <w:r w:rsidRPr="00247D8F">
        <w:rPr>
          <w:i/>
          <w:szCs w:val="24"/>
        </w:rPr>
        <w:t>–</w:t>
      </w:r>
      <w:r w:rsidRPr="00247D8F">
        <w:rPr>
          <w:szCs w:val="24"/>
        </w:rPr>
        <w:t xml:space="preserve">490.    </w:t>
      </w:r>
    </w:p>
    <w:p w14:paraId="2915A4C4" w14:textId="77777777" w:rsidR="00A7287F" w:rsidRDefault="00A7287F" w:rsidP="003652F5">
      <w:pPr>
        <w:ind w:left="720" w:hanging="720"/>
        <w:rPr>
          <w:szCs w:val="24"/>
        </w:rPr>
      </w:pPr>
      <w:r>
        <w:rPr>
          <w:szCs w:val="24"/>
        </w:rPr>
        <w:t xml:space="preserve">Guilford, J.P., &amp; Fruchter, B. (1985). </w:t>
      </w:r>
      <w:r>
        <w:rPr>
          <w:i/>
          <w:szCs w:val="24"/>
        </w:rPr>
        <w:t xml:space="preserve">Fundamental statistics in psychology and education </w:t>
      </w:r>
      <w:r w:rsidRPr="001501E9">
        <w:rPr>
          <w:szCs w:val="24"/>
        </w:rPr>
        <w:t>(6</w:t>
      </w:r>
      <w:r w:rsidRPr="001501E9">
        <w:rPr>
          <w:szCs w:val="24"/>
          <w:vertAlign w:val="superscript"/>
        </w:rPr>
        <w:t>th</w:t>
      </w:r>
      <w:r w:rsidRPr="001501E9">
        <w:rPr>
          <w:szCs w:val="24"/>
        </w:rPr>
        <w:t xml:space="preserve"> ed.). Singapore: McGraw-Hill. </w:t>
      </w:r>
      <w:r w:rsidRPr="00292378">
        <w:rPr>
          <w:szCs w:val="24"/>
        </w:rPr>
        <w:t xml:space="preserve">        </w:t>
      </w:r>
    </w:p>
    <w:p w14:paraId="3E5EC8C6" w14:textId="77777777" w:rsidR="00A7287F" w:rsidRDefault="00A7287F" w:rsidP="003652F5">
      <w:pPr>
        <w:ind w:left="720" w:hanging="720"/>
        <w:rPr>
          <w:rFonts w:cs="Times New Roman"/>
          <w:szCs w:val="24"/>
        </w:rPr>
      </w:pPr>
      <w:r w:rsidRPr="00247D8F">
        <w:rPr>
          <w:szCs w:val="24"/>
        </w:rPr>
        <w:t xml:space="preserve">Habel, J. (1999). </w:t>
      </w:r>
      <w:r w:rsidRPr="00247D8F">
        <w:rPr>
          <w:rFonts w:cs="Times New Roman"/>
          <w:szCs w:val="24"/>
        </w:rPr>
        <w:t>What students with behavior disorders say about school.</w:t>
      </w:r>
      <w:r w:rsidRPr="00247D8F">
        <w:t xml:space="preserve"> </w:t>
      </w:r>
      <w:r w:rsidRPr="00247D8F">
        <w:rPr>
          <w:rFonts w:cs="Times New Roman"/>
          <w:i/>
          <w:szCs w:val="24"/>
        </w:rPr>
        <w:t>Remedial &amp; Special Education, 20</w:t>
      </w:r>
      <w:r w:rsidRPr="00247D8F">
        <w:rPr>
          <w:rFonts w:cs="Times New Roman"/>
          <w:szCs w:val="24"/>
        </w:rPr>
        <w:t>(2), 93</w:t>
      </w:r>
      <w:r w:rsidRPr="00247D8F">
        <w:rPr>
          <w:i/>
          <w:szCs w:val="24"/>
        </w:rPr>
        <w:t>–</w:t>
      </w:r>
      <w:r w:rsidRPr="00247D8F">
        <w:rPr>
          <w:rFonts w:cs="Times New Roman"/>
          <w:szCs w:val="24"/>
        </w:rPr>
        <w:t xml:space="preserve">106. </w:t>
      </w:r>
    </w:p>
    <w:p w14:paraId="5549180A" w14:textId="77777777" w:rsidR="00A7287F" w:rsidRDefault="00A7287F" w:rsidP="003652F5">
      <w:pPr>
        <w:ind w:left="720" w:hanging="720"/>
        <w:rPr>
          <w:szCs w:val="24"/>
        </w:rPr>
      </w:pPr>
      <w:r w:rsidRPr="00247D8F">
        <w:rPr>
          <w:szCs w:val="24"/>
        </w:rPr>
        <w:t>Haig, B. D. (2005</w:t>
      </w:r>
      <w:r w:rsidRPr="00247D8F">
        <w:rPr>
          <w:i/>
          <w:szCs w:val="24"/>
        </w:rPr>
        <w:t>).</w:t>
      </w:r>
      <w:r w:rsidRPr="004B1A9D">
        <w:rPr>
          <w:szCs w:val="24"/>
        </w:rPr>
        <w:t xml:space="preserve"> An abductive theory of scientific method.</w:t>
      </w:r>
      <w:r w:rsidRPr="00247D8F">
        <w:rPr>
          <w:i/>
          <w:szCs w:val="24"/>
        </w:rPr>
        <w:t xml:space="preserve"> Psychological Methods, 10</w:t>
      </w:r>
      <w:r w:rsidRPr="00247D8F">
        <w:rPr>
          <w:szCs w:val="24"/>
        </w:rPr>
        <w:t>(4), 371</w:t>
      </w:r>
      <w:r w:rsidRPr="00247D8F">
        <w:rPr>
          <w:i/>
          <w:szCs w:val="24"/>
        </w:rPr>
        <w:t>–</w:t>
      </w:r>
      <w:r w:rsidRPr="00247D8F">
        <w:rPr>
          <w:szCs w:val="24"/>
        </w:rPr>
        <w:t xml:space="preserve">388.   </w:t>
      </w:r>
    </w:p>
    <w:p w14:paraId="702C15BD" w14:textId="77777777" w:rsidR="00A7287F" w:rsidRDefault="00A7287F" w:rsidP="003652F5">
      <w:pPr>
        <w:ind w:left="720" w:hanging="720"/>
        <w:rPr>
          <w:szCs w:val="24"/>
        </w:rPr>
      </w:pPr>
      <w:r w:rsidRPr="00247D8F">
        <w:rPr>
          <w:szCs w:val="24"/>
        </w:rPr>
        <w:t>Hamm, J. V., Farmer, T. W., Dadisman, K., Gravelle, M., &amp; Murray, A. R. (2011). Teachers´ attunement to students</w:t>
      </w:r>
      <w:r>
        <w:rPr>
          <w:szCs w:val="24"/>
        </w:rPr>
        <w:t xml:space="preserve">’ </w:t>
      </w:r>
      <w:r w:rsidRPr="00247D8F">
        <w:rPr>
          <w:szCs w:val="24"/>
        </w:rPr>
        <w:t>peer group affiliations as a source of improved student experiences of the sc</w:t>
      </w:r>
      <w:r w:rsidRPr="00887A59">
        <w:rPr>
          <w:szCs w:val="24"/>
        </w:rPr>
        <w:t xml:space="preserve">hool social-affective context </w:t>
      </w:r>
      <w:r w:rsidRPr="004B1A9D">
        <w:rPr>
          <w:szCs w:val="24"/>
        </w:rPr>
        <w:t>following the middle school transition</w:t>
      </w:r>
      <w:r w:rsidRPr="00247D8F">
        <w:rPr>
          <w:i/>
          <w:szCs w:val="24"/>
        </w:rPr>
        <w:t>. Journal of Applied Developmental Psychology. 32,</w:t>
      </w:r>
      <w:r w:rsidRPr="00247D8F">
        <w:rPr>
          <w:szCs w:val="24"/>
        </w:rPr>
        <w:t xml:space="preserve"> 267</w:t>
      </w:r>
      <w:r w:rsidRPr="00247D8F">
        <w:rPr>
          <w:i/>
          <w:szCs w:val="24"/>
        </w:rPr>
        <w:t>–</w:t>
      </w:r>
      <w:r w:rsidRPr="00247D8F">
        <w:rPr>
          <w:szCs w:val="24"/>
        </w:rPr>
        <w:t>277. doi:10.1016/j.appdev.2010.06.003</w:t>
      </w:r>
    </w:p>
    <w:p w14:paraId="664AF941" w14:textId="77777777" w:rsidR="00A7287F" w:rsidRDefault="00A7287F" w:rsidP="003652F5">
      <w:pPr>
        <w:ind w:left="720" w:hanging="720"/>
        <w:rPr>
          <w:szCs w:val="24"/>
        </w:rPr>
      </w:pPr>
      <w:r w:rsidRPr="00247D8F">
        <w:rPr>
          <w:szCs w:val="24"/>
        </w:rPr>
        <w:t xml:space="preserve">Hasher, T., &amp; Hagenauer, G. (2011). Alienation from school. </w:t>
      </w:r>
      <w:r w:rsidRPr="00247D8F">
        <w:rPr>
          <w:i/>
          <w:szCs w:val="24"/>
        </w:rPr>
        <w:t>International Journal of Educational Research</w:t>
      </w:r>
      <w:r w:rsidRPr="00247D8F">
        <w:rPr>
          <w:szCs w:val="24"/>
        </w:rPr>
        <w:t>, 49, 220</w:t>
      </w:r>
      <w:r w:rsidRPr="00247D8F">
        <w:rPr>
          <w:i/>
          <w:szCs w:val="24"/>
        </w:rPr>
        <w:t>–</w:t>
      </w:r>
      <w:r w:rsidRPr="00247D8F">
        <w:rPr>
          <w:szCs w:val="24"/>
        </w:rPr>
        <w:t>232. doi:10.1016/j.ijer.2011.03.002</w:t>
      </w:r>
    </w:p>
    <w:p w14:paraId="65492DB8" w14:textId="77777777" w:rsidR="00A7287F" w:rsidRDefault="00A7287F" w:rsidP="003652F5">
      <w:pPr>
        <w:autoSpaceDE w:val="0"/>
        <w:autoSpaceDN w:val="0"/>
        <w:adjustRightInd w:val="0"/>
        <w:ind w:left="720" w:hanging="720"/>
        <w:rPr>
          <w:szCs w:val="24"/>
        </w:rPr>
      </w:pPr>
      <w:r w:rsidRPr="00247D8F">
        <w:rPr>
          <w:rFonts w:cs="Times New Roman"/>
          <w:szCs w:val="24"/>
        </w:rPr>
        <w:t>Hughes</w:t>
      </w:r>
      <w:r w:rsidRPr="00663A89">
        <w:rPr>
          <w:rFonts w:cs="Times New Roman"/>
          <w:szCs w:val="24"/>
          <w:lang w:val="en-GB"/>
        </w:rPr>
        <w:t>, J. N., &amp; Chen</w:t>
      </w:r>
      <w:r w:rsidRPr="00247D8F">
        <w:rPr>
          <w:rFonts w:cs="Times New Roman"/>
          <w:szCs w:val="24"/>
          <w:lang w:val="en-GB"/>
        </w:rPr>
        <w:t xml:space="preserve">, Q. (2011). Reciprocal effects of student–teacher and student–peer relatedness: Effects on academic self-efficacy. </w:t>
      </w:r>
      <w:r w:rsidRPr="00247D8F">
        <w:rPr>
          <w:rFonts w:cs="Times New Roman"/>
          <w:i/>
          <w:iCs/>
          <w:szCs w:val="24"/>
          <w:lang w:val="en-GB"/>
        </w:rPr>
        <w:t>Journal of Applied Developmental Psychology</w:t>
      </w:r>
      <w:r w:rsidRPr="00247D8F">
        <w:rPr>
          <w:rFonts w:cs="Times New Roman"/>
          <w:szCs w:val="24"/>
          <w:lang w:val="en-GB"/>
        </w:rPr>
        <w:t xml:space="preserve">, </w:t>
      </w:r>
      <w:r w:rsidRPr="00247D8F">
        <w:rPr>
          <w:rFonts w:cs="Times New Roman"/>
          <w:i/>
          <w:szCs w:val="24"/>
          <w:lang w:val="en-GB"/>
        </w:rPr>
        <w:t>32</w:t>
      </w:r>
      <w:r w:rsidRPr="004B1A9D">
        <w:rPr>
          <w:rFonts w:cs="Times New Roman"/>
          <w:szCs w:val="24"/>
          <w:lang w:val="en-GB"/>
        </w:rPr>
        <w:t>(5</w:t>
      </w:r>
      <w:r w:rsidRPr="00887A59">
        <w:rPr>
          <w:rFonts w:cs="Times New Roman"/>
          <w:szCs w:val="24"/>
          <w:lang w:val="en-GB"/>
        </w:rPr>
        <w:t xml:space="preserve">), </w:t>
      </w:r>
      <w:r w:rsidRPr="00247D8F">
        <w:rPr>
          <w:rFonts w:cs="Times New Roman"/>
          <w:szCs w:val="24"/>
          <w:lang w:val="en-GB"/>
        </w:rPr>
        <w:t>278–287.</w:t>
      </w:r>
    </w:p>
    <w:p w14:paraId="436BD664" w14:textId="77777777" w:rsidR="00A7287F" w:rsidRDefault="00A7287F" w:rsidP="003652F5">
      <w:pPr>
        <w:ind w:left="720" w:hanging="720"/>
        <w:rPr>
          <w:szCs w:val="24"/>
        </w:rPr>
      </w:pPr>
      <w:r w:rsidRPr="00247D8F">
        <w:rPr>
          <w:szCs w:val="24"/>
        </w:rPr>
        <w:t>Jindal-Snape, J. (2008). A challenge of living</w:t>
      </w:r>
      <w:r>
        <w:rPr>
          <w:szCs w:val="24"/>
        </w:rPr>
        <w:t>:</w:t>
      </w:r>
      <w:r w:rsidRPr="00247D8F">
        <w:rPr>
          <w:szCs w:val="24"/>
        </w:rPr>
        <w:t xml:space="preserve"> Understanding the psycho-social processes of the child during primary-secondary transition through resilience and self-esteem theories. </w:t>
      </w:r>
      <w:r w:rsidRPr="00247D8F">
        <w:rPr>
          <w:i/>
          <w:szCs w:val="24"/>
        </w:rPr>
        <w:t>Educational Psychological Review, 20</w:t>
      </w:r>
      <w:r w:rsidRPr="00247D8F">
        <w:rPr>
          <w:szCs w:val="24"/>
        </w:rPr>
        <w:t xml:space="preserve">, 217-236. doi: 10.1007/s10648-008-9074-7 </w:t>
      </w:r>
    </w:p>
    <w:p w14:paraId="1B0C9F69" w14:textId="77777777" w:rsidR="00A7287F" w:rsidRDefault="00A7287F" w:rsidP="003652F5">
      <w:pPr>
        <w:ind w:left="720" w:hanging="720"/>
        <w:rPr>
          <w:szCs w:val="24"/>
        </w:rPr>
      </w:pPr>
      <w:r w:rsidRPr="00247D8F">
        <w:rPr>
          <w:szCs w:val="24"/>
        </w:rPr>
        <w:t xml:space="preserve">Kirkpatrick Johnson, M., Crosnoe, R., &amp; Thaden, L. L. (2006). Gendered patterns in adolescents´ school attachment. </w:t>
      </w:r>
      <w:r w:rsidRPr="00247D8F">
        <w:rPr>
          <w:i/>
          <w:szCs w:val="24"/>
        </w:rPr>
        <w:t>Social Psychology Quarterly,</w:t>
      </w:r>
      <w:r w:rsidRPr="00292378">
        <w:rPr>
          <w:i/>
          <w:szCs w:val="24"/>
        </w:rPr>
        <w:t xml:space="preserve"> </w:t>
      </w:r>
      <w:r w:rsidRPr="001501E9">
        <w:rPr>
          <w:i/>
          <w:szCs w:val="24"/>
        </w:rPr>
        <w:t>69</w:t>
      </w:r>
      <w:r w:rsidRPr="00247D8F">
        <w:rPr>
          <w:szCs w:val="24"/>
        </w:rPr>
        <w:t>(3), 284</w:t>
      </w:r>
      <w:r w:rsidRPr="00247D8F">
        <w:rPr>
          <w:i/>
          <w:szCs w:val="24"/>
        </w:rPr>
        <w:t>–</w:t>
      </w:r>
      <w:r w:rsidRPr="00247D8F">
        <w:rPr>
          <w:szCs w:val="24"/>
        </w:rPr>
        <w:t>295.</w:t>
      </w:r>
    </w:p>
    <w:p w14:paraId="4E4C33E5" w14:textId="77777777" w:rsidR="00A7287F" w:rsidRDefault="00A7287F" w:rsidP="003652F5">
      <w:pPr>
        <w:ind w:left="720" w:hanging="720"/>
        <w:rPr>
          <w:i/>
          <w:szCs w:val="24"/>
        </w:rPr>
      </w:pPr>
      <w:r w:rsidRPr="00F538FB">
        <w:rPr>
          <w:szCs w:val="24"/>
          <w:lang w:val="en-GB"/>
        </w:rPr>
        <w:t>Kunn</w:t>
      </w:r>
      <w:r w:rsidRPr="00E464C6">
        <w:rPr>
          <w:szCs w:val="24"/>
          <w:lang w:val="en-GB"/>
        </w:rPr>
        <w:t>ari</w:t>
      </w:r>
      <w:r w:rsidRPr="00247D8F">
        <w:rPr>
          <w:szCs w:val="24"/>
          <w:lang w:val="en-GB"/>
        </w:rPr>
        <w:t xml:space="preserve">, I., &amp; Lipponen, L. </w:t>
      </w:r>
      <w:r w:rsidRPr="00247D8F">
        <w:rPr>
          <w:szCs w:val="24"/>
        </w:rPr>
        <w:t>(2010). Building teacher-student relationships for well-bein</w:t>
      </w:r>
      <w:r w:rsidRPr="00247D8F">
        <w:rPr>
          <w:i/>
          <w:szCs w:val="24"/>
        </w:rPr>
        <w:t xml:space="preserve">g. Lifelong </w:t>
      </w:r>
      <w:r>
        <w:rPr>
          <w:i/>
          <w:szCs w:val="24"/>
        </w:rPr>
        <w:t>L</w:t>
      </w:r>
      <w:r w:rsidRPr="00247D8F">
        <w:rPr>
          <w:i/>
          <w:szCs w:val="24"/>
        </w:rPr>
        <w:t xml:space="preserve">earning in Europe, 2, </w:t>
      </w:r>
      <w:r w:rsidRPr="00247D8F">
        <w:rPr>
          <w:szCs w:val="24"/>
        </w:rPr>
        <w:t>63</w:t>
      </w:r>
      <w:r w:rsidRPr="00247D8F">
        <w:rPr>
          <w:i/>
          <w:szCs w:val="24"/>
        </w:rPr>
        <w:t>–</w:t>
      </w:r>
      <w:r w:rsidRPr="00247D8F">
        <w:rPr>
          <w:szCs w:val="24"/>
        </w:rPr>
        <w:t>71</w:t>
      </w:r>
      <w:r w:rsidRPr="00247D8F">
        <w:rPr>
          <w:i/>
          <w:szCs w:val="24"/>
        </w:rPr>
        <w:t>.</w:t>
      </w:r>
    </w:p>
    <w:p w14:paraId="5C6FAD3C" w14:textId="77777777" w:rsidR="00A7287F" w:rsidRDefault="00A7287F" w:rsidP="003652F5">
      <w:pPr>
        <w:ind w:left="720" w:hanging="720"/>
        <w:rPr>
          <w:szCs w:val="24"/>
        </w:rPr>
      </w:pPr>
      <w:r w:rsidRPr="00247D8F">
        <w:rPr>
          <w:szCs w:val="24"/>
        </w:rPr>
        <w:t>Lam, S., Jimerson, S., Kikas, E., Cefai, C., Veiga, F., Nelson, B., Hatzichristou, C., Polychroni, F., Basnett, J., Duck, R., Farrell, P., Liu, Y., Negovan, V., Shin, H., Stanculescu, E., Wong, B. P. H., Yang, H., &amp; Zolleritsch, J. (2012). Do girls and boys perceive themselves as equally engaged in school? The results of an international study from 12 countries.</w:t>
      </w:r>
      <w:r w:rsidRPr="00247D8F">
        <w:rPr>
          <w:i/>
          <w:szCs w:val="24"/>
        </w:rPr>
        <w:t xml:space="preserve"> Journal of School Psychology, 50, </w:t>
      </w:r>
      <w:r w:rsidRPr="00247D8F">
        <w:rPr>
          <w:szCs w:val="24"/>
        </w:rPr>
        <w:t>77</w:t>
      </w:r>
      <w:r w:rsidRPr="00247D8F">
        <w:rPr>
          <w:i/>
          <w:szCs w:val="24"/>
        </w:rPr>
        <w:t>–</w:t>
      </w:r>
      <w:r w:rsidRPr="00247D8F">
        <w:rPr>
          <w:szCs w:val="24"/>
        </w:rPr>
        <w:t>94. doi:10.1016/j.jsp.2011.07.004</w:t>
      </w:r>
      <w:r>
        <w:rPr>
          <w:szCs w:val="24"/>
        </w:rPr>
        <w:t>.</w:t>
      </w:r>
    </w:p>
    <w:p w14:paraId="4355B6DB" w14:textId="77777777" w:rsidR="00A7287F" w:rsidRDefault="00A7287F" w:rsidP="003652F5">
      <w:pPr>
        <w:ind w:left="720" w:hanging="720"/>
        <w:rPr>
          <w:szCs w:val="24"/>
        </w:rPr>
      </w:pPr>
      <w:r w:rsidRPr="00247D8F">
        <w:rPr>
          <w:szCs w:val="24"/>
          <w:lang w:val="fr-FR"/>
        </w:rPr>
        <w:t xml:space="preserve">Langher, V., Ricci, M. E., Reversi, S., &amp; Citarelli, G. (2010). </w:t>
      </w:r>
      <w:r w:rsidRPr="00247D8F">
        <w:rPr>
          <w:szCs w:val="24"/>
        </w:rPr>
        <w:t xml:space="preserve">Disabled students and the quality of relationships within the class. </w:t>
      </w:r>
      <w:r w:rsidRPr="00247D8F">
        <w:rPr>
          <w:i/>
          <w:szCs w:val="24"/>
        </w:rPr>
        <w:t>Procedia Social and Behavioural Sciences,</w:t>
      </w:r>
      <w:r w:rsidRPr="00247D8F">
        <w:rPr>
          <w:szCs w:val="24"/>
        </w:rPr>
        <w:t xml:space="preserve"> </w:t>
      </w:r>
      <w:r w:rsidRPr="00247D8F">
        <w:rPr>
          <w:i/>
          <w:szCs w:val="24"/>
        </w:rPr>
        <w:t>5</w:t>
      </w:r>
      <w:r w:rsidRPr="00247D8F">
        <w:rPr>
          <w:szCs w:val="24"/>
        </w:rPr>
        <w:t>, 2295</w:t>
      </w:r>
      <w:r w:rsidRPr="00247D8F">
        <w:rPr>
          <w:i/>
          <w:szCs w:val="24"/>
        </w:rPr>
        <w:t>–</w:t>
      </w:r>
      <w:r w:rsidRPr="00247D8F">
        <w:rPr>
          <w:szCs w:val="24"/>
        </w:rPr>
        <w:t>2299.</w:t>
      </w:r>
    </w:p>
    <w:p w14:paraId="4A54C427" w14:textId="77777777" w:rsidR="00A7287F" w:rsidRDefault="00A7287F" w:rsidP="003652F5">
      <w:pPr>
        <w:autoSpaceDE w:val="0"/>
        <w:autoSpaceDN w:val="0"/>
        <w:adjustRightInd w:val="0"/>
        <w:ind w:left="720" w:hanging="720"/>
        <w:rPr>
          <w:szCs w:val="24"/>
        </w:rPr>
      </w:pPr>
      <w:r w:rsidRPr="00C05065">
        <w:rPr>
          <w:rFonts w:cs="Times New Roman"/>
          <w:color w:val="231F20"/>
          <w:szCs w:val="24"/>
        </w:rPr>
        <w:t xml:space="preserve">Lappalainen, K., Savolainen, H., Kuorelahti, M., &amp; Epstein, M.H. (2009). </w:t>
      </w:r>
      <w:r w:rsidRPr="00247D8F">
        <w:rPr>
          <w:rFonts w:cs="Times New Roman"/>
          <w:color w:val="231F20"/>
          <w:szCs w:val="24"/>
          <w:lang w:val="en-GB"/>
        </w:rPr>
        <w:t>An international assessment of the emotional and behavioral strengths of youth</w:t>
      </w:r>
      <w:r w:rsidRPr="00247D8F">
        <w:rPr>
          <w:rFonts w:cs="Times New Roman"/>
          <w:i/>
          <w:color w:val="231F20"/>
          <w:szCs w:val="24"/>
          <w:lang w:val="en-GB"/>
        </w:rPr>
        <w:t>. Journal of Child and Family Studies, 18</w:t>
      </w:r>
      <w:r w:rsidRPr="00247D8F">
        <w:rPr>
          <w:rFonts w:cs="Times New Roman"/>
          <w:color w:val="231F20"/>
          <w:szCs w:val="24"/>
          <w:lang w:val="en-GB"/>
        </w:rPr>
        <w:t>(6), 746–753.</w:t>
      </w:r>
    </w:p>
    <w:p w14:paraId="30F5E8C8" w14:textId="77777777" w:rsidR="00A7287F" w:rsidRDefault="00A7287F" w:rsidP="003652F5">
      <w:pPr>
        <w:ind w:left="720" w:hanging="720"/>
        <w:rPr>
          <w:szCs w:val="24"/>
        </w:rPr>
      </w:pPr>
      <w:r w:rsidRPr="0064035E">
        <w:rPr>
          <w:szCs w:val="24"/>
        </w:rPr>
        <w:t xml:space="preserve">Lewis, A. D., Huebner, E. S., Malone, P. S., &amp; Valois, R. F. (2011). </w:t>
      </w:r>
      <w:r w:rsidRPr="00247D8F">
        <w:rPr>
          <w:szCs w:val="24"/>
        </w:rPr>
        <w:t xml:space="preserve">Life </w:t>
      </w:r>
      <w:r>
        <w:rPr>
          <w:szCs w:val="24"/>
        </w:rPr>
        <w:t>s</w:t>
      </w:r>
      <w:r w:rsidRPr="00247D8F">
        <w:rPr>
          <w:szCs w:val="24"/>
        </w:rPr>
        <w:t xml:space="preserve">atisfaction and </w:t>
      </w:r>
      <w:r>
        <w:rPr>
          <w:szCs w:val="24"/>
        </w:rPr>
        <w:t>s</w:t>
      </w:r>
      <w:r w:rsidRPr="00247D8F">
        <w:rPr>
          <w:szCs w:val="24"/>
        </w:rPr>
        <w:t xml:space="preserve">tudent </w:t>
      </w:r>
      <w:r>
        <w:rPr>
          <w:szCs w:val="24"/>
        </w:rPr>
        <w:t>e</w:t>
      </w:r>
      <w:r w:rsidRPr="00247D8F">
        <w:rPr>
          <w:szCs w:val="24"/>
        </w:rPr>
        <w:t xml:space="preserve">ngagement in </w:t>
      </w:r>
      <w:r>
        <w:rPr>
          <w:szCs w:val="24"/>
        </w:rPr>
        <w:t>a</w:t>
      </w:r>
      <w:r w:rsidRPr="00247D8F">
        <w:rPr>
          <w:szCs w:val="24"/>
        </w:rPr>
        <w:t xml:space="preserve">dolescents. </w:t>
      </w:r>
      <w:r w:rsidRPr="00247D8F">
        <w:rPr>
          <w:i/>
          <w:szCs w:val="24"/>
        </w:rPr>
        <w:t>Journal Youth Adolescence, 40,</w:t>
      </w:r>
      <w:r w:rsidRPr="00247D8F">
        <w:rPr>
          <w:szCs w:val="24"/>
        </w:rPr>
        <w:t xml:space="preserve"> 249</w:t>
      </w:r>
      <w:r w:rsidRPr="00247D8F">
        <w:rPr>
          <w:i/>
          <w:szCs w:val="24"/>
        </w:rPr>
        <w:t>–</w:t>
      </w:r>
      <w:r w:rsidRPr="00247D8F">
        <w:rPr>
          <w:szCs w:val="24"/>
        </w:rPr>
        <w:t>262. doi:10.1007/s10964-010-9517-6</w:t>
      </w:r>
    </w:p>
    <w:p w14:paraId="64F0079D" w14:textId="77777777" w:rsidR="00A7287F" w:rsidRDefault="00A7287F" w:rsidP="003652F5">
      <w:pPr>
        <w:ind w:left="720" w:hanging="720"/>
        <w:rPr>
          <w:szCs w:val="24"/>
        </w:rPr>
      </w:pPr>
      <w:r w:rsidRPr="009B30CF">
        <w:rPr>
          <w:rFonts w:eastAsia="Times New Roman" w:cs="Times New Roman"/>
          <w:color w:val="000000"/>
          <w:szCs w:val="24"/>
          <w:lang w:val="sv-FI"/>
        </w:rPr>
        <w:t xml:space="preserve">Li, Y., &amp; Lerner, R.M. (2012). </w:t>
      </w:r>
      <w:r w:rsidRPr="00247D8F">
        <w:rPr>
          <w:rFonts w:eastAsia="Times New Roman" w:cs="Times New Roman"/>
          <w:color w:val="000000"/>
          <w:szCs w:val="24"/>
        </w:rPr>
        <w:t xml:space="preserve">Interrelations of behavioural, emotional, and cognitive school engagement in high school students. </w:t>
      </w:r>
      <w:r w:rsidRPr="00247D8F">
        <w:rPr>
          <w:rFonts w:eastAsia="Times New Roman" w:cs="Times New Roman"/>
          <w:i/>
          <w:color w:val="000000"/>
          <w:szCs w:val="24"/>
        </w:rPr>
        <w:t>Journal of Youth and Adolescence,</w:t>
      </w:r>
      <w:r w:rsidRPr="00247D8F">
        <w:rPr>
          <w:rFonts w:eastAsia="Times New Roman" w:cs="Times New Roman"/>
          <w:color w:val="000000"/>
          <w:szCs w:val="24"/>
        </w:rPr>
        <w:t xml:space="preserve"> </w:t>
      </w:r>
      <w:r w:rsidRPr="001501E9">
        <w:rPr>
          <w:rFonts w:eastAsia="Times New Roman" w:cs="Times New Roman"/>
          <w:i/>
          <w:color w:val="000000"/>
          <w:szCs w:val="24"/>
        </w:rPr>
        <w:t>42</w:t>
      </w:r>
      <w:r w:rsidRPr="00247D8F">
        <w:rPr>
          <w:rFonts w:eastAsia="Times New Roman" w:cs="Times New Roman"/>
          <w:color w:val="000000"/>
          <w:szCs w:val="24"/>
        </w:rPr>
        <w:t>, 20–32.</w:t>
      </w:r>
    </w:p>
    <w:p w14:paraId="6760EC66" w14:textId="77777777" w:rsidR="00A7287F" w:rsidRDefault="00A7287F" w:rsidP="003652F5">
      <w:pPr>
        <w:ind w:left="720" w:hanging="720"/>
        <w:rPr>
          <w:szCs w:val="24"/>
        </w:rPr>
      </w:pPr>
      <w:r w:rsidRPr="009B30CF">
        <w:rPr>
          <w:szCs w:val="24"/>
          <w:lang w:val="en-GB"/>
        </w:rPr>
        <w:t xml:space="preserve">Lohre, A., Lydersen, S., &amp; Vatten, L. (2010). </w:t>
      </w:r>
      <w:r w:rsidRPr="00247D8F">
        <w:rPr>
          <w:szCs w:val="24"/>
        </w:rPr>
        <w:t xml:space="preserve">School wellbeing among children in grades </w:t>
      </w:r>
      <w:r>
        <w:rPr>
          <w:szCs w:val="24"/>
        </w:rPr>
        <w:t xml:space="preserve">    </w:t>
      </w:r>
      <w:r w:rsidRPr="00247D8F">
        <w:rPr>
          <w:szCs w:val="24"/>
        </w:rPr>
        <w:t>1</w:t>
      </w:r>
      <w:r w:rsidRPr="00247D8F">
        <w:rPr>
          <w:i/>
          <w:szCs w:val="24"/>
        </w:rPr>
        <w:t>–</w:t>
      </w:r>
      <w:r w:rsidRPr="00247D8F">
        <w:rPr>
          <w:szCs w:val="24"/>
        </w:rPr>
        <w:t>10</w:t>
      </w:r>
      <w:r w:rsidRPr="00247D8F">
        <w:rPr>
          <w:i/>
          <w:szCs w:val="24"/>
        </w:rPr>
        <w:t xml:space="preserve">. BMC Public Health, 10, </w:t>
      </w:r>
      <w:r w:rsidRPr="00247D8F">
        <w:rPr>
          <w:szCs w:val="24"/>
        </w:rPr>
        <w:t>(526).</w:t>
      </w:r>
    </w:p>
    <w:p w14:paraId="0C59E125" w14:textId="77777777" w:rsidR="00A7287F" w:rsidRDefault="00A7287F" w:rsidP="003652F5">
      <w:pPr>
        <w:ind w:left="720" w:hanging="720"/>
        <w:rPr>
          <w:szCs w:val="24"/>
        </w:rPr>
      </w:pPr>
      <w:r w:rsidRPr="00247D8F">
        <w:rPr>
          <w:szCs w:val="24"/>
        </w:rPr>
        <w:t xml:space="preserve">Lopez, S. J. (2011). Giving students a voice. The highs and lows of student’s engagement. </w:t>
      </w:r>
      <w:r w:rsidRPr="00247D8F">
        <w:rPr>
          <w:i/>
          <w:szCs w:val="24"/>
        </w:rPr>
        <w:t>Kappan, 93</w:t>
      </w:r>
      <w:r w:rsidRPr="00247D8F">
        <w:rPr>
          <w:szCs w:val="24"/>
        </w:rPr>
        <w:t>(2), 72</w:t>
      </w:r>
      <w:r w:rsidRPr="00247D8F">
        <w:rPr>
          <w:i/>
          <w:szCs w:val="24"/>
        </w:rPr>
        <w:t>–</w:t>
      </w:r>
      <w:r w:rsidRPr="00247D8F">
        <w:rPr>
          <w:szCs w:val="24"/>
        </w:rPr>
        <w:t>73.</w:t>
      </w:r>
    </w:p>
    <w:p w14:paraId="6F1F04FB" w14:textId="77777777" w:rsidR="00A7287F" w:rsidRDefault="00A7287F" w:rsidP="003652F5">
      <w:pPr>
        <w:ind w:left="720" w:hanging="720"/>
        <w:rPr>
          <w:szCs w:val="24"/>
        </w:rPr>
      </w:pPr>
      <w:r w:rsidRPr="00247D8F">
        <w:rPr>
          <w:szCs w:val="24"/>
        </w:rPr>
        <w:lastRenderedPageBreak/>
        <w:t xml:space="preserve">Lovitt, T., Plavins, M., &amp; Cushing, S. (1999). What do pupils with disabilities have to say about their experience in high school? </w:t>
      </w:r>
      <w:r w:rsidRPr="00247D8F">
        <w:rPr>
          <w:i/>
          <w:szCs w:val="24"/>
        </w:rPr>
        <w:t>Remedial and Special Education,</w:t>
      </w:r>
      <w:r w:rsidRPr="00247D8F">
        <w:rPr>
          <w:szCs w:val="24"/>
        </w:rPr>
        <w:t xml:space="preserve"> </w:t>
      </w:r>
      <w:r w:rsidRPr="00247D8F">
        <w:rPr>
          <w:i/>
          <w:szCs w:val="24"/>
        </w:rPr>
        <w:t>20</w:t>
      </w:r>
      <w:r w:rsidRPr="00247D8F">
        <w:rPr>
          <w:szCs w:val="24"/>
        </w:rPr>
        <w:t>(2), 67</w:t>
      </w:r>
      <w:r w:rsidRPr="00247D8F">
        <w:rPr>
          <w:i/>
          <w:szCs w:val="24"/>
        </w:rPr>
        <w:t>–</w:t>
      </w:r>
      <w:r w:rsidRPr="00247D8F">
        <w:rPr>
          <w:szCs w:val="24"/>
        </w:rPr>
        <w:t>76, 83.</w:t>
      </w:r>
    </w:p>
    <w:p w14:paraId="140F0866" w14:textId="77777777" w:rsidR="00A7287F" w:rsidRDefault="00A7287F" w:rsidP="003652F5">
      <w:pPr>
        <w:ind w:left="720" w:hanging="720"/>
        <w:rPr>
          <w:szCs w:val="24"/>
          <w:lang w:val="en-GB"/>
        </w:rPr>
      </w:pPr>
      <w:r w:rsidRPr="00247D8F">
        <w:rPr>
          <w:szCs w:val="24"/>
          <w:lang w:val="en-GB"/>
        </w:rPr>
        <w:t xml:space="preserve">Luckner, A. E., &amp; Pianta, R.C. (2011). Teacher-student interactions in fifth grade classrooms: Relations with children´s peer behaviour. </w:t>
      </w:r>
      <w:r w:rsidRPr="00247D8F">
        <w:rPr>
          <w:i/>
          <w:szCs w:val="24"/>
          <w:lang w:val="en-GB"/>
        </w:rPr>
        <w:t>Journal of Applied Developmental Psychology, 32</w:t>
      </w:r>
      <w:r w:rsidRPr="004B1A9D">
        <w:rPr>
          <w:szCs w:val="24"/>
          <w:lang w:val="en-GB"/>
        </w:rPr>
        <w:t>(5)</w:t>
      </w:r>
      <w:r w:rsidRPr="00887A59">
        <w:rPr>
          <w:szCs w:val="24"/>
          <w:lang w:val="en-GB"/>
        </w:rPr>
        <w:t xml:space="preserve">, </w:t>
      </w:r>
      <w:r w:rsidRPr="00247D8F">
        <w:rPr>
          <w:szCs w:val="24"/>
          <w:lang w:val="en-GB"/>
        </w:rPr>
        <w:t>257</w:t>
      </w:r>
      <w:r w:rsidRPr="00247D8F">
        <w:rPr>
          <w:i/>
          <w:szCs w:val="24"/>
        </w:rPr>
        <w:t>–</w:t>
      </w:r>
      <w:r w:rsidRPr="00247D8F">
        <w:rPr>
          <w:szCs w:val="24"/>
          <w:lang w:val="en-GB"/>
        </w:rPr>
        <w:t xml:space="preserve">266. doi:10.1016/j.appdev.2011.02.010 </w:t>
      </w:r>
    </w:p>
    <w:p w14:paraId="1FC1E43C" w14:textId="77777777" w:rsidR="00A7287F" w:rsidRDefault="00A7287F" w:rsidP="003652F5">
      <w:pPr>
        <w:autoSpaceDE w:val="0"/>
        <w:autoSpaceDN w:val="0"/>
        <w:adjustRightInd w:val="0"/>
        <w:ind w:left="720" w:hanging="720"/>
        <w:rPr>
          <w:szCs w:val="24"/>
        </w:rPr>
      </w:pPr>
      <w:r w:rsidRPr="00247D8F">
        <w:rPr>
          <w:szCs w:val="24"/>
        </w:rPr>
        <w:t xml:space="preserve">Ma, X. (2007). School experiences influence personal health and interpersonal relationships of adolescents: The Canadian case. </w:t>
      </w:r>
      <w:r w:rsidRPr="00247D8F">
        <w:rPr>
          <w:i/>
          <w:szCs w:val="24"/>
        </w:rPr>
        <w:t xml:space="preserve">School Effectiveness and School Improvement, </w:t>
      </w:r>
      <w:r w:rsidRPr="004B1A9D">
        <w:rPr>
          <w:i/>
          <w:szCs w:val="24"/>
        </w:rPr>
        <w:t>18</w:t>
      </w:r>
      <w:r w:rsidRPr="00247D8F">
        <w:rPr>
          <w:szCs w:val="24"/>
        </w:rPr>
        <w:t>(2), 209</w:t>
      </w:r>
      <w:r w:rsidRPr="00247D8F">
        <w:rPr>
          <w:i/>
          <w:szCs w:val="24"/>
        </w:rPr>
        <w:t>–</w:t>
      </w:r>
      <w:r w:rsidRPr="00247D8F">
        <w:rPr>
          <w:szCs w:val="24"/>
        </w:rPr>
        <w:t xml:space="preserve">240. </w:t>
      </w:r>
    </w:p>
    <w:p w14:paraId="6C5D8798" w14:textId="77777777" w:rsidR="00A7287F" w:rsidRDefault="00A7287F" w:rsidP="003652F5">
      <w:pPr>
        <w:ind w:left="720" w:hanging="720"/>
        <w:rPr>
          <w:szCs w:val="24"/>
        </w:rPr>
      </w:pPr>
      <w:r w:rsidRPr="00247D8F">
        <w:rPr>
          <w:szCs w:val="24"/>
        </w:rPr>
        <w:t xml:space="preserve">Marks, H. M. (2000). Student engagement in instructional activity: Patterns in the elementary, middle, and high school years. </w:t>
      </w:r>
      <w:r w:rsidRPr="00247D8F">
        <w:rPr>
          <w:i/>
          <w:szCs w:val="24"/>
        </w:rPr>
        <w:t xml:space="preserve">American Educational Research Journal, </w:t>
      </w:r>
      <w:r w:rsidRPr="004B1A9D">
        <w:rPr>
          <w:i/>
          <w:szCs w:val="24"/>
        </w:rPr>
        <w:t>37</w:t>
      </w:r>
      <w:r w:rsidRPr="00247D8F">
        <w:rPr>
          <w:szCs w:val="24"/>
        </w:rPr>
        <w:t>(1), 153</w:t>
      </w:r>
      <w:r w:rsidRPr="00247D8F">
        <w:rPr>
          <w:i/>
          <w:szCs w:val="24"/>
        </w:rPr>
        <w:t>–</w:t>
      </w:r>
      <w:r w:rsidRPr="00247D8F">
        <w:rPr>
          <w:szCs w:val="24"/>
        </w:rPr>
        <w:t>184. doi:10.3102/00028312037001153</w:t>
      </w:r>
    </w:p>
    <w:p w14:paraId="5B27BC17" w14:textId="77777777" w:rsidR="00A7287F" w:rsidRDefault="00A7287F" w:rsidP="003652F5">
      <w:pPr>
        <w:ind w:left="720" w:hanging="720"/>
        <w:rPr>
          <w:szCs w:val="24"/>
        </w:rPr>
      </w:pPr>
      <w:r w:rsidRPr="00247D8F">
        <w:rPr>
          <w:szCs w:val="24"/>
        </w:rPr>
        <w:t xml:space="preserve">Martin, A. J., Anderson, J., Bobis, J., Way, J., &amp; Vellar, R. (2011). Switching on and switching off in mathematics: An ecological study of future intent and disengagement among middle school students. </w:t>
      </w:r>
      <w:r w:rsidRPr="00247D8F">
        <w:rPr>
          <w:i/>
          <w:szCs w:val="24"/>
        </w:rPr>
        <w:t>Journal of Educational Psychology</w:t>
      </w:r>
      <w:r w:rsidRPr="00247D8F">
        <w:rPr>
          <w:szCs w:val="24"/>
        </w:rPr>
        <w:t xml:space="preserve">, </w:t>
      </w:r>
      <w:r w:rsidRPr="00247D8F">
        <w:rPr>
          <w:i/>
          <w:szCs w:val="24"/>
        </w:rPr>
        <w:t>104</w:t>
      </w:r>
      <w:r w:rsidRPr="00247D8F">
        <w:rPr>
          <w:szCs w:val="24"/>
        </w:rPr>
        <w:t>(1), 1</w:t>
      </w:r>
      <w:r w:rsidRPr="00247D8F">
        <w:rPr>
          <w:i/>
          <w:szCs w:val="24"/>
        </w:rPr>
        <w:t>–</w:t>
      </w:r>
      <w:r w:rsidRPr="00247D8F">
        <w:rPr>
          <w:szCs w:val="24"/>
        </w:rPr>
        <w:t>18. doi:10.10377/a0025988</w:t>
      </w:r>
    </w:p>
    <w:p w14:paraId="1E67B186" w14:textId="77777777" w:rsidR="00A7287F" w:rsidRDefault="00A7287F" w:rsidP="003652F5">
      <w:pPr>
        <w:ind w:left="720" w:hanging="720"/>
        <w:rPr>
          <w:szCs w:val="24"/>
        </w:rPr>
      </w:pPr>
      <w:r w:rsidRPr="00921D0B">
        <w:rPr>
          <w:szCs w:val="24"/>
          <w:lang w:val="en-GB"/>
        </w:rPr>
        <w:t xml:space="preserve">Matzen, K., Ryndak, D., &amp; Nakao, T. (2010). </w:t>
      </w:r>
      <w:r w:rsidRPr="00247D8F">
        <w:rPr>
          <w:szCs w:val="24"/>
        </w:rPr>
        <w:t xml:space="preserve">Middle school teams increasing access to general education for students with significant disabilities: Issues encountered and activities observed across contexts. </w:t>
      </w:r>
      <w:r w:rsidRPr="004B1A9D">
        <w:rPr>
          <w:i/>
          <w:szCs w:val="24"/>
        </w:rPr>
        <w:t xml:space="preserve">Remedial and Special Education, </w:t>
      </w:r>
      <w:r w:rsidRPr="00247D8F">
        <w:rPr>
          <w:i/>
          <w:szCs w:val="24"/>
        </w:rPr>
        <w:t>31</w:t>
      </w:r>
      <w:r w:rsidRPr="00247D8F">
        <w:rPr>
          <w:szCs w:val="24"/>
        </w:rPr>
        <w:t>(4), 287</w:t>
      </w:r>
      <w:r w:rsidRPr="00247D8F">
        <w:rPr>
          <w:i/>
          <w:szCs w:val="24"/>
        </w:rPr>
        <w:t>–</w:t>
      </w:r>
      <w:r w:rsidRPr="00247D8F">
        <w:rPr>
          <w:szCs w:val="24"/>
        </w:rPr>
        <w:t xml:space="preserve">304. doi:10.1177/0741932508327457 </w:t>
      </w:r>
    </w:p>
    <w:p w14:paraId="0B121C21" w14:textId="77777777" w:rsidR="00A7287F" w:rsidRDefault="00A7287F" w:rsidP="003652F5">
      <w:pPr>
        <w:ind w:left="720" w:hanging="720"/>
        <w:rPr>
          <w:szCs w:val="24"/>
        </w:rPr>
      </w:pPr>
      <w:r w:rsidRPr="00247D8F">
        <w:rPr>
          <w:rFonts w:cs="Times New Roman"/>
          <w:szCs w:val="24"/>
        </w:rPr>
        <w:t xml:space="preserve">McDonald, R., </w:t>
      </w:r>
      <w:r>
        <w:rPr>
          <w:rFonts w:cs="Times New Roman"/>
          <w:szCs w:val="24"/>
        </w:rPr>
        <w:t xml:space="preserve">&amp; </w:t>
      </w:r>
      <w:r w:rsidRPr="00247D8F">
        <w:rPr>
          <w:rFonts w:cs="Times New Roman"/>
          <w:szCs w:val="24"/>
        </w:rPr>
        <w:t xml:space="preserve">Marsh, J. (2004). Missing </w:t>
      </w:r>
      <w:r>
        <w:rPr>
          <w:rFonts w:cs="Times New Roman"/>
          <w:szCs w:val="24"/>
        </w:rPr>
        <w:t>s</w:t>
      </w:r>
      <w:r w:rsidRPr="00247D8F">
        <w:rPr>
          <w:rFonts w:cs="Times New Roman"/>
          <w:szCs w:val="24"/>
        </w:rPr>
        <w:t xml:space="preserve">chool: Educational engagement, youth transitions, and </w:t>
      </w:r>
      <w:r>
        <w:rPr>
          <w:rFonts w:cs="Times New Roman"/>
          <w:szCs w:val="24"/>
        </w:rPr>
        <w:t>s</w:t>
      </w:r>
      <w:r w:rsidRPr="00247D8F">
        <w:rPr>
          <w:rFonts w:cs="Times New Roman"/>
          <w:szCs w:val="24"/>
        </w:rPr>
        <w:t xml:space="preserve">ocial exclusion. </w:t>
      </w:r>
      <w:r w:rsidRPr="00247D8F">
        <w:rPr>
          <w:rFonts w:cs="Times New Roman"/>
          <w:i/>
          <w:szCs w:val="24"/>
        </w:rPr>
        <w:t>Youth Society</w:t>
      </w:r>
      <w:r>
        <w:rPr>
          <w:rFonts w:cs="Times New Roman"/>
          <w:i/>
          <w:szCs w:val="24"/>
        </w:rPr>
        <w:t>,</w:t>
      </w:r>
      <w:r w:rsidRPr="00247D8F">
        <w:rPr>
          <w:rFonts w:cs="Times New Roman"/>
          <w:i/>
          <w:szCs w:val="24"/>
        </w:rPr>
        <w:t xml:space="preserve"> </w:t>
      </w:r>
      <w:r w:rsidRPr="004B1A9D">
        <w:rPr>
          <w:rFonts w:cs="Times New Roman"/>
          <w:i/>
          <w:szCs w:val="24"/>
        </w:rPr>
        <w:t>36</w:t>
      </w:r>
      <w:r w:rsidRPr="00247D8F">
        <w:rPr>
          <w:rFonts w:cs="Times New Roman"/>
          <w:szCs w:val="24"/>
        </w:rPr>
        <w:t>(2), 136</w:t>
      </w:r>
      <w:r w:rsidRPr="00247D8F">
        <w:rPr>
          <w:i/>
          <w:szCs w:val="24"/>
        </w:rPr>
        <w:t>–</w:t>
      </w:r>
      <w:r w:rsidRPr="00247D8F">
        <w:rPr>
          <w:rFonts w:cs="Times New Roman"/>
          <w:szCs w:val="24"/>
        </w:rPr>
        <w:t>162. doi:10.1177/0044118X04265156</w:t>
      </w:r>
    </w:p>
    <w:p w14:paraId="50CDC52D" w14:textId="77777777" w:rsidR="00A7287F" w:rsidRDefault="00A7287F" w:rsidP="003652F5">
      <w:pPr>
        <w:ind w:left="720" w:hanging="720"/>
        <w:rPr>
          <w:szCs w:val="24"/>
        </w:rPr>
      </w:pPr>
      <w:r w:rsidRPr="00247D8F">
        <w:rPr>
          <w:szCs w:val="24"/>
        </w:rPr>
        <w:t xml:space="preserve">Milsom, A., &amp; Glanville, J. L. (2009). Factors mediating the relationship between social skills and academic grades in a sample of students diagnosed with learning disabilities or emotional disturbance. </w:t>
      </w:r>
      <w:r w:rsidRPr="00247D8F">
        <w:rPr>
          <w:i/>
          <w:szCs w:val="24"/>
        </w:rPr>
        <w:t>Remedial and Special Education,</w:t>
      </w:r>
      <w:r w:rsidRPr="00247D8F">
        <w:rPr>
          <w:szCs w:val="24"/>
        </w:rPr>
        <w:t xml:space="preserve"> </w:t>
      </w:r>
      <w:r w:rsidRPr="004B1A9D">
        <w:rPr>
          <w:i/>
          <w:szCs w:val="24"/>
        </w:rPr>
        <w:t>31</w:t>
      </w:r>
      <w:r w:rsidRPr="00887A59">
        <w:rPr>
          <w:szCs w:val="24"/>
        </w:rPr>
        <w:t>(</w:t>
      </w:r>
      <w:r w:rsidRPr="004B1A9D">
        <w:rPr>
          <w:szCs w:val="24"/>
        </w:rPr>
        <w:t>4)</w:t>
      </w:r>
      <w:r w:rsidRPr="00887A59">
        <w:rPr>
          <w:szCs w:val="24"/>
        </w:rPr>
        <w:t xml:space="preserve">, </w:t>
      </w:r>
      <w:r w:rsidRPr="00247D8F">
        <w:rPr>
          <w:szCs w:val="24"/>
        </w:rPr>
        <w:t>241</w:t>
      </w:r>
      <w:r w:rsidRPr="00247D8F">
        <w:rPr>
          <w:i/>
          <w:szCs w:val="24"/>
        </w:rPr>
        <w:t>–</w:t>
      </w:r>
      <w:r w:rsidRPr="00247D8F">
        <w:rPr>
          <w:szCs w:val="24"/>
        </w:rPr>
        <w:t>251. doi:10.1177/0741932508327460</w:t>
      </w:r>
    </w:p>
    <w:p w14:paraId="0112291E" w14:textId="77777777" w:rsidR="00A7287F" w:rsidRDefault="00A7287F" w:rsidP="003652F5">
      <w:pPr>
        <w:ind w:left="720" w:hanging="720"/>
        <w:rPr>
          <w:szCs w:val="24"/>
        </w:rPr>
      </w:pPr>
      <w:r w:rsidRPr="00247D8F">
        <w:rPr>
          <w:szCs w:val="24"/>
        </w:rPr>
        <w:t xml:space="preserve">Nickerson, A. B., Hopson, L. M., &amp; Steinke, C. M. (2011). School connectedness in community and residential treatment schools: The influence of gender, grades, and engagement in treatment. </w:t>
      </w:r>
      <w:r w:rsidRPr="00247D8F">
        <w:rPr>
          <w:i/>
          <w:szCs w:val="24"/>
        </w:rPr>
        <w:t>Children and Youth Services Review,</w:t>
      </w:r>
      <w:r w:rsidRPr="00247D8F">
        <w:rPr>
          <w:szCs w:val="24"/>
        </w:rPr>
        <w:t xml:space="preserve"> 33, 829</w:t>
      </w:r>
      <w:r w:rsidRPr="00247D8F">
        <w:rPr>
          <w:i/>
          <w:szCs w:val="24"/>
        </w:rPr>
        <w:t>–</w:t>
      </w:r>
      <w:r w:rsidRPr="00247D8F">
        <w:rPr>
          <w:szCs w:val="24"/>
        </w:rPr>
        <w:t xml:space="preserve">839. </w:t>
      </w:r>
    </w:p>
    <w:p w14:paraId="30C0083D" w14:textId="77777777" w:rsidR="00A7287F" w:rsidRDefault="00A7287F" w:rsidP="003652F5">
      <w:pPr>
        <w:ind w:left="720" w:hanging="720"/>
        <w:rPr>
          <w:szCs w:val="24"/>
        </w:rPr>
      </w:pPr>
      <w:r w:rsidRPr="005D70FB">
        <w:rPr>
          <w:szCs w:val="24"/>
          <w:lang w:val="en-GB"/>
        </w:rPr>
        <w:t xml:space="preserve">Oelsner, J., Lippold, M.A., &amp; Greenberg, M. T. (2011). </w:t>
      </w:r>
      <w:r w:rsidRPr="00247D8F">
        <w:rPr>
          <w:szCs w:val="24"/>
        </w:rPr>
        <w:t xml:space="preserve">Factors influencing the development of school bonding among middle school students. </w:t>
      </w:r>
      <w:r w:rsidRPr="00247D8F">
        <w:rPr>
          <w:i/>
          <w:szCs w:val="24"/>
        </w:rPr>
        <w:t>Journal of Early Adolescence, 3</w:t>
      </w:r>
      <w:r w:rsidRPr="004B1A9D">
        <w:rPr>
          <w:i/>
          <w:szCs w:val="24"/>
        </w:rPr>
        <w:t>1</w:t>
      </w:r>
      <w:r w:rsidRPr="00247D8F">
        <w:rPr>
          <w:szCs w:val="24"/>
        </w:rPr>
        <w:t>(3), 463</w:t>
      </w:r>
      <w:r w:rsidRPr="00247D8F">
        <w:rPr>
          <w:i/>
          <w:szCs w:val="24"/>
        </w:rPr>
        <w:t>–</w:t>
      </w:r>
      <w:r w:rsidRPr="00247D8F">
        <w:rPr>
          <w:szCs w:val="24"/>
        </w:rPr>
        <w:t>487. doi:10.1177/0272431610366244</w:t>
      </w:r>
    </w:p>
    <w:p w14:paraId="5208E9AC" w14:textId="77777777" w:rsidR="00A7287F" w:rsidRDefault="00A7287F" w:rsidP="003652F5">
      <w:pPr>
        <w:ind w:left="720" w:hanging="720"/>
        <w:rPr>
          <w:szCs w:val="24"/>
        </w:rPr>
      </w:pPr>
      <w:r w:rsidRPr="00247D8F">
        <w:rPr>
          <w:szCs w:val="24"/>
        </w:rPr>
        <w:t xml:space="preserve">Perry, J. C., Liu, X., &amp; Pabian, Y. (2010). School engagement as a mediator of academic performance among urban youth: The role of career preparation, parental career support and teacher support. </w:t>
      </w:r>
      <w:r w:rsidRPr="00247D8F">
        <w:rPr>
          <w:i/>
          <w:szCs w:val="24"/>
        </w:rPr>
        <w:t>The Counseling Psychologist,</w:t>
      </w:r>
      <w:r w:rsidRPr="004B1A9D">
        <w:rPr>
          <w:i/>
          <w:szCs w:val="24"/>
        </w:rPr>
        <w:t xml:space="preserve"> 38</w:t>
      </w:r>
      <w:r w:rsidRPr="00247D8F">
        <w:rPr>
          <w:szCs w:val="24"/>
        </w:rPr>
        <w:t>(2), 269</w:t>
      </w:r>
      <w:r w:rsidRPr="00247D8F">
        <w:rPr>
          <w:i/>
          <w:szCs w:val="24"/>
        </w:rPr>
        <w:t>–</w:t>
      </w:r>
      <w:r w:rsidRPr="00247D8F">
        <w:rPr>
          <w:szCs w:val="24"/>
        </w:rPr>
        <w:t>295. doi:10.1177/001 1000009349272</w:t>
      </w:r>
    </w:p>
    <w:p w14:paraId="3AF944D6" w14:textId="77777777" w:rsidR="00A7287F" w:rsidRDefault="00A7287F" w:rsidP="003652F5">
      <w:pPr>
        <w:ind w:left="720" w:hanging="720"/>
        <w:rPr>
          <w:szCs w:val="24"/>
        </w:rPr>
      </w:pPr>
      <w:r w:rsidRPr="00921D0B">
        <w:rPr>
          <w:szCs w:val="24"/>
          <w:lang w:val="en-GB"/>
        </w:rPr>
        <w:t xml:space="preserve">Pietarinen, J., Soini, T., &amp; Pyhältö, K. (2014). </w:t>
      </w:r>
      <w:r>
        <w:rPr>
          <w:szCs w:val="24"/>
        </w:rPr>
        <w:t xml:space="preserve">Students’ emotional and cognitive engagement as the determinants of well-being and achievement in school. </w:t>
      </w:r>
      <w:r>
        <w:rPr>
          <w:i/>
          <w:szCs w:val="24"/>
        </w:rPr>
        <w:t xml:space="preserve">International Journal of Educational Research, 67, </w:t>
      </w:r>
      <w:r>
        <w:rPr>
          <w:szCs w:val="24"/>
        </w:rPr>
        <w:t>40</w:t>
      </w:r>
      <w:r w:rsidRPr="00247D8F">
        <w:rPr>
          <w:i/>
          <w:szCs w:val="24"/>
        </w:rPr>
        <w:t>–</w:t>
      </w:r>
      <w:r>
        <w:rPr>
          <w:szCs w:val="24"/>
        </w:rPr>
        <w:t>51.</w:t>
      </w:r>
    </w:p>
    <w:p w14:paraId="07D2A3B5" w14:textId="77777777" w:rsidR="00A7287F" w:rsidRDefault="00A7287F" w:rsidP="003652F5">
      <w:pPr>
        <w:ind w:left="720" w:hanging="720"/>
        <w:rPr>
          <w:rFonts w:cs="Times New Roman"/>
          <w:szCs w:val="24"/>
        </w:rPr>
      </w:pPr>
      <w:r w:rsidRPr="00235D47">
        <w:rPr>
          <w:rFonts w:cs="Times New Roman"/>
          <w:szCs w:val="24"/>
          <w:lang w:val="en-GB"/>
        </w:rPr>
        <w:t xml:space="preserve">PISA, Program for International Student Assessment. </w:t>
      </w:r>
      <w:r w:rsidRPr="00235D47">
        <w:rPr>
          <w:rFonts w:cs="Times New Roman"/>
          <w:szCs w:val="24"/>
        </w:rPr>
        <w:t>(2012).</w:t>
      </w:r>
      <w:r w:rsidRPr="00235D47">
        <w:rPr>
          <w:rFonts w:cs="Times New Roman"/>
          <w:szCs w:val="24"/>
          <w:lang w:val="en-GB"/>
        </w:rPr>
        <w:t xml:space="preserve"> </w:t>
      </w:r>
      <w:r w:rsidRPr="001501E9">
        <w:rPr>
          <w:rFonts w:cs="Times New Roman"/>
          <w:i/>
          <w:szCs w:val="24"/>
          <w:lang w:val="en-GB"/>
        </w:rPr>
        <w:t>Results</w:t>
      </w:r>
      <w:r w:rsidRPr="00CC2DCF">
        <w:rPr>
          <w:i/>
          <w:szCs w:val="24"/>
        </w:rPr>
        <w:t>–</w:t>
      </w:r>
      <w:r w:rsidRPr="001501E9">
        <w:rPr>
          <w:rFonts w:cs="Times New Roman"/>
          <w:i/>
          <w:szCs w:val="24"/>
          <w:lang w:val="en-GB"/>
        </w:rPr>
        <w:t>OECD.</w:t>
      </w:r>
      <w:r>
        <w:rPr>
          <w:rFonts w:cs="Times New Roman"/>
          <w:szCs w:val="24"/>
          <w:lang w:val="en-GB"/>
        </w:rPr>
        <w:t xml:space="preserve"> </w:t>
      </w:r>
      <w:r w:rsidRPr="00235D47">
        <w:rPr>
          <w:rFonts w:cs="Times New Roman"/>
          <w:szCs w:val="24"/>
          <w:lang w:val="en-GB"/>
        </w:rPr>
        <w:t xml:space="preserve">Retrieved from </w:t>
      </w:r>
      <w:hyperlink r:id="rId10" w:history="1">
        <w:r w:rsidRPr="00235D47">
          <w:rPr>
            <w:rFonts w:cs="Times New Roman"/>
            <w:szCs w:val="24"/>
          </w:rPr>
          <w:t>http://www.oecd.org/pisa/keyfindings/pisa-2012-results-html</w:t>
        </w:r>
      </w:hyperlink>
      <w:r>
        <w:rPr>
          <w:rFonts w:cs="Times New Roman"/>
          <w:szCs w:val="24"/>
        </w:rPr>
        <w:t xml:space="preserve"> </w:t>
      </w:r>
    </w:p>
    <w:p w14:paraId="36DF01B0" w14:textId="77777777" w:rsidR="00A7287F" w:rsidRDefault="00A7287F" w:rsidP="003652F5">
      <w:pPr>
        <w:ind w:left="720" w:hanging="720"/>
        <w:rPr>
          <w:szCs w:val="24"/>
        </w:rPr>
      </w:pPr>
      <w:r w:rsidRPr="00B86753">
        <w:rPr>
          <w:szCs w:val="24"/>
          <w:lang w:val="en-GB"/>
        </w:rPr>
        <w:t xml:space="preserve">Pitt, V., </w:t>
      </w:r>
      <w:r>
        <w:rPr>
          <w:szCs w:val="24"/>
          <w:lang w:val="en-GB"/>
        </w:rPr>
        <w:t xml:space="preserve">&amp; </w:t>
      </w:r>
      <w:r w:rsidRPr="00B86753">
        <w:rPr>
          <w:szCs w:val="24"/>
          <w:lang w:val="en-GB"/>
        </w:rPr>
        <w:t xml:space="preserve">Curtin, V. (2004). </w:t>
      </w:r>
      <w:r w:rsidRPr="00247D8F">
        <w:rPr>
          <w:szCs w:val="24"/>
        </w:rPr>
        <w:t xml:space="preserve">Integration versus segregation: </w:t>
      </w:r>
      <w:r>
        <w:rPr>
          <w:szCs w:val="24"/>
        </w:rPr>
        <w:t>T</w:t>
      </w:r>
      <w:r w:rsidRPr="00247D8F">
        <w:rPr>
          <w:szCs w:val="24"/>
        </w:rPr>
        <w:t xml:space="preserve">he experiences of a group of disabled students moving from mainstream school into special needs further education. </w:t>
      </w:r>
      <w:r w:rsidRPr="00247D8F">
        <w:rPr>
          <w:i/>
          <w:szCs w:val="24"/>
        </w:rPr>
        <w:t>Disability of Society, 19</w:t>
      </w:r>
      <w:r w:rsidRPr="00247D8F">
        <w:rPr>
          <w:szCs w:val="24"/>
        </w:rPr>
        <w:t>(4), 387</w:t>
      </w:r>
      <w:r w:rsidRPr="00247D8F">
        <w:rPr>
          <w:i/>
          <w:szCs w:val="24"/>
        </w:rPr>
        <w:t>–</w:t>
      </w:r>
      <w:r w:rsidRPr="00247D8F">
        <w:rPr>
          <w:szCs w:val="24"/>
        </w:rPr>
        <w:t>399.</w:t>
      </w:r>
    </w:p>
    <w:p w14:paraId="245099DA" w14:textId="77777777" w:rsidR="00A7287F" w:rsidRDefault="00A7287F" w:rsidP="003652F5">
      <w:pPr>
        <w:ind w:left="720" w:hanging="720"/>
        <w:rPr>
          <w:szCs w:val="24"/>
        </w:rPr>
      </w:pPr>
      <w:r w:rsidRPr="007F68D7">
        <w:rPr>
          <w:szCs w:val="24"/>
        </w:rPr>
        <w:t xml:space="preserve">Pyhältö, K., Soini, T., &amp; Pietarinen, J. (2010). </w:t>
      </w:r>
      <w:r>
        <w:rPr>
          <w:szCs w:val="24"/>
        </w:rPr>
        <w:t xml:space="preserve">Pupil´s pedagogical well-being in comprehensive school-significant positive and negative school experiences of Finnish ninth graders. </w:t>
      </w:r>
      <w:r>
        <w:rPr>
          <w:i/>
          <w:szCs w:val="24"/>
        </w:rPr>
        <w:t>European Journal of Psychological Education, 25</w:t>
      </w:r>
      <w:r>
        <w:rPr>
          <w:szCs w:val="24"/>
        </w:rPr>
        <w:t>(2), 207</w:t>
      </w:r>
      <w:r w:rsidRPr="00247D8F">
        <w:rPr>
          <w:i/>
          <w:szCs w:val="24"/>
        </w:rPr>
        <w:t>–</w:t>
      </w:r>
      <w:r>
        <w:rPr>
          <w:szCs w:val="24"/>
        </w:rPr>
        <w:t>221.</w:t>
      </w:r>
    </w:p>
    <w:p w14:paraId="432AFCAA" w14:textId="77777777" w:rsidR="00A7287F" w:rsidRDefault="00A7287F" w:rsidP="003652F5">
      <w:pPr>
        <w:ind w:left="720" w:hanging="720"/>
        <w:rPr>
          <w:szCs w:val="24"/>
        </w:rPr>
      </w:pPr>
      <w:r w:rsidRPr="00247D8F">
        <w:rPr>
          <w:szCs w:val="24"/>
        </w:rPr>
        <w:lastRenderedPageBreak/>
        <w:t>Reschly, A. L</w:t>
      </w:r>
      <w:r w:rsidRPr="00663A89">
        <w:rPr>
          <w:szCs w:val="24"/>
        </w:rPr>
        <w:t>., &amp; Christenson,</w:t>
      </w:r>
      <w:r w:rsidRPr="00247D8F">
        <w:rPr>
          <w:szCs w:val="24"/>
        </w:rPr>
        <w:t xml:space="preserve"> S. L. (2006). Prediction of dropout among students with mild disabilities: A case for the inclusion of student engagement variables. </w:t>
      </w:r>
      <w:r w:rsidRPr="00247D8F">
        <w:rPr>
          <w:i/>
          <w:szCs w:val="24"/>
        </w:rPr>
        <w:t>Remedial and Special Education, 27</w:t>
      </w:r>
      <w:r w:rsidRPr="00247D8F">
        <w:rPr>
          <w:szCs w:val="24"/>
        </w:rPr>
        <w:t>(5), 276</w:t>
      </w:r>
      <w:r w:rsidRPr="00247D8F">
        <w:rPr>
          <w:i/>
          <w:szCs w:val="24"/>
        </w:rPr>
        <w:t>–</w:t>
      </w:r>
      <w:r w:rsidRPr="00247D8F">
        <w:rPr>
          <w:szCs w:val="24"/>
        </w:rPr>
        <w:t>292. doi: 10. 1177/07419325060270050301</w:t>
      </w:r>
    </w:p>
    <w:p w14:paraId="632BCFA3" w14:textId="77777777" w:rsidR="00A7287F" w:rsidRDefault="00A7287F" w:rsidP="003652F5">
      <w:pPr>
        <w:ind w:left="720" w:hanging="720"/>
        <w:rPr>
          <w:szCs w:val="24"/>
        </w:rPr>
      </w:pPr>
      <w:r w:rsidRPr="00247D8F">
        <w:rPr>
          <w:szCs w:val="24"/>
        </w:rPr>
        <w:t xml:space="preserve">Reschly, A. L., Huebner, E. S., Appleton, J. J., &amp; Antaramian, S. (2008). Engagement as flourishing: </w:t>
      </w:r>
      <w:r>
        <w:rPr>
          <w:szCs w:val="24"/>
        </w:rPr>
        <w:t>T</w:t>
      </w:r>
      <w:r w:rsidRPr="00247D8F">
        <w:rPr>
          <w:szCs w:val="24"/>
        </w:rPr>
        <w:t>he contribution of positive emotions and coping to adolescents’ engagement at school and with learning</w:t>
      </w:r>
      <w:r w:rsidRPr="00247D8F">
        <w:rPr>
          <w:i/>
          <w:szCs w:val="24"/>
        </w:rPr>
        <w:t>. Psychology in the Schools</w:t>
      </w:r>
      <w:r w:rsidRPr="00247D8F">
        <w:rPr>
          <w:szCs w:val="24"/>
        </w:rPr>
        <w:t xml:space="preserve">, </w:t>
      </w:r>
      <w:r w:rsidRPr="00247D8F">
        <w:rPr>
          <w:i/>
          <w:szCs w:val="24"/>
        </w:rPr>
        <w:t>45</w:t>
      </w:r>
      <w:r w:rsidRPr="00247D8F">
        <w:rPr>
          <w:szCs w:val="24"/>
        </w:rPr>
        <w:t>(5), 419</w:t>
      </w:r>
      <w:r w:rsidRPr="00247D8F">
        <w:rPr>
          <w:i/>
          <w:szCs w:val="24"/>
        </w:rPr>
        <w:t>–</w:t>
      </w:r>
      <w:r w:rsidRPr="00247D8F">
        <w:rPr>
          <w:szCs w:val="24"/>
        </w:rPr>
        <w:t>431. doi:10.1002/pits.20306</w:t>
      </w:r>
    </w:p>
    <w:p w14:paraId="22C97DCD" w14:textId="77777777" w:rsidR="00A7287F" w:rsidRDefault="00A7287F" w:rsidP="003652F5">
      <w:pPr>
        <w:ind w:left="720" w:hanging="720"/>
        <w:rPr>
          <w:szCs w:val="24"/>
          <w:lang w:val="fi-FI"/>
        </w:rPr>
      </w:pPr>
      <w:r w:rsidRPr="00E94AD3">
        <w:rPr>
          <w:szCs w:val="24"/>
          <w:lang w:val="en-GB"/>
        </w:rPr>
        <w:t xml:space="preserve">Sabel, C., Saxenian, A., Miettinen, R., Kristensen, P. H., &amp; Hautamäki, J. (2011). </w:t>
      </w:r>
      <w:r w:rsidRPr="00247D8F">
        <w:rPr>
          <w:i/>
          <w:szCs w:val="24"/>
        </w:rPr>
        <w:t>Individualized service provision in the new welfare state</w:t>
      </w:r>
      <w:r>
        <w:rPr>
          <w:i/>
          <w:szCs w:val="24"/>
        </w:rPr>
        <w:t>:</w:t>
      </w:r>
      <w:r w:rsidRPr="00247D8F">
        <w:rPr>
          <w:i/>
          <w:szCs w:val="24"/>
        </w:rPr>
        <w:t xml:space="preserve"> Lessons from special education in Finland.</w:t>
      </w:r>
      <w:r w:rsidRPr="00247D8F">
        <w:rPr>
          <w:szCs w:val="24"/>
        </w:rPr>
        <w:t xml:space="preserve"> </w:t>
      </w:r>
      <w:r w:rsidRPr="00AC7BAD">
        <w:rPr>
          <w:szCs w:val="24"/>
          <w:lang w:val="fi-FI"/>
        </w:rPr>
        <w:t xml:space="preserve">Helsinki: Sitra Studies 62. </w:t>
      </w:r>
    </w:p>
    <w:p w14:paraId="26EBF64B" w14:textId="77777777" w:rsidR="00A7287F" w:rsidRDefault="00A7287F" w:rsidP="003652F5">
      <w:pPr>
        <w:ind w:left="720" w:hanging="720"/>
        <w:rPr>
          <w:szCs w:val="24"/>
        </w:rPr>
      </w:pPr>
      <w:r w:rsidRPr="007F68D7">
        <w:rPr>
          <w:szCs w:val="24"/>
          <w:lang w:val="fi-FI"/>
        </w:rPr>
        <w:t xml:space="preserve">Salmela-Aro, K., Tolvanen, A., &amp; Nurmi, J-E. </w:t>
      </w:r>
      <w:r w:rsidRPr="00247D8F">
        <w:rPr>
          <w:szCs w:val="24"/>
        </w:rPr>
        <w:t xml:space="preserve">(2011). Social strategies during university studies predict early career work burnout and engagement: 18-year longitudinal study. </w:t>
      </w:r>
      <w:r w:rsidRPr="00247D8F">
        <w:rPr>
          <w:i/>
          <w:szCs w:val="24"/>
        </w:rPr>
        <w:t>Journal of Vocational Behaviou</w:t>
      </w:r>
      <w:r>
        <w:rPr>
          <w:i/>
          <w:szCs w:val="24"/>
        </w:rPr>
        <w:t>r,</w:t>
      </w:r>
      <w:r w:rsidRPr="00247D8F">
        <w:rPr>
          <w:i/>
          <w:szCs w:val="24"/>
        </w:rPr>
        <w:t xml:space="preserve"> 7</w:t>
      </w:r>
      <w:r w:rsidRPr="00247D8F">
        <w:rPr>
          <w:szCs w:val="24"/>
        </w:rPr>
        <w:t>9, 145</w:t>
      </w:r>
      <w:r w:rsidRPr="00247D8F">
        <w:rPr>
          <w:i/>
          <w:szCs w:val="24"/>
        </w:rPr>
        <w:t>–</w:t>
      </w:r>
      <w:r w:rsidRPr="00247D8F">
        <w:rPr>
          <w:szCs w:val="24"/>
        </w:rPr>
        <w:t>157.</w:t>
      </w:r>
      <w:r w:rsidRPr="003F0FA3">
        <w:rPr>
          <w:szCs w:val="24"/>
        </w:rPr>
        <w:t xml:space="preserve"> </w:t>
      </w:r>
    </w:p>
    <w:p w14:paraId="45546666" w14:textId="77777777" w:rsidR="00A7287F" w:rsidRDefault="00A7287F" w:rsidP="003652F5">
      <w:pPr>
        <w:ind w:left="720" w:hanging="720"/>
        <w:rPr>
          <w:szCs w:val="24"/>
        </w:rPr>
      </w:pPr>
      <w:r w:rsidRPr="00247D8F">
        <w:rPr>
          <w:szCs w:val="24"/>
        </w:rPr>
        <w:t xml:space="preserve">Salvatore, S., Nota, L., &amp; Wehmeyer, M. L. (2011). Community involvement in promoting inclusion, participation and self-determination. </w:t>
      </w:r>
      <w:r w:rsidRPr="00247D8F">
        <w:rPr>
          <w:i/>
          <w:szCs w:val="24"/>
        </w:rPr>
        <w:t>International Journal of Inclusive Education,</w:t>
      </w:r>
      <w:r w:rsidRPr="00247D8F">
        <w:rPr>
          <w:szCs w:val="24"/>
        </w:rPr>
        <w:t xml:space="preserve"> </w:t>
      </w:r>
      <w:r w:rsidRPr="00247D8F">
        <w:rPr>
          <w:i/>
          <w:szCs w:val="24"/>
        </w:rPr>
        <w:t>15</w:t>
      </w:r>
      <w:r w:rsidRPr="00247D8F">
        <w:rPr>
          <w:szCs w:val="24"/>
        </w:rPr>
        <w:t>(1), 15</w:t>
      </w:r>
      <w:r w:rsidRPr="00247D8F">
        <w:rPr>
          <w:i/>
          <w:szCs w:val="24"/>
        </w:rPr>
        <w:t>–</w:t>
      </w:r>
      <w:r w:rsidRPr="00247D8F">
        <w:rPr>
          <w:szCs w:val="24"/>
        </w:rPr>
        <w:t>28.</w:t>
      </w:r>
    </w:p>
    <w:p w14:paraId="51E93803" w14:textId="77777777" w:rsidR="00A7287F" w:rsidRDefault="00A7287F" w:rsidP="003652F5">
      <w:pPr>
        <w:ind w:left="720" w:hanging="720"/>
        <w:rPr>
          <w:szCs w:val="24"/>
        </w:rPr>
      </w:pPr>
      <w:r w:rsidRPr="00247D8F">
        <w:rPr>
          <w:szCs w:val="24"/>
        </w:rPr>
        <w:t xml:space="preserve">Schweinle, A., Turner, J. C., &amp; Meyer, D. K. (2008). Understanding young adolescents´ optimal experiences in academic settings. </w:t>
      </w:r>
      <w:r w:rsidRPr="00247D8F">
        <w:rPr>
          <w:i/>
          <w:szCs w:val="24"/>
        </w:rPr>
        <w:t>The Journal of Experimental Education, 77</w:t>
      </w:r>
      <w:r w:rsidRPr="00247D8F">
        <w:rPr>
          <w:szCs w:val="24"/>
        </w:rPr>
        <w:t>(2), 125</w:t>
      </w:r>
      <w:r w:rsidRPr="00247D8F">
        <w:rPr>
          <w:i/>
          <w:szCs w:val="24"/>
        </w:rPr>
        <w:t>–</w:t>
      </w:r>
      <w:r w:rsidRPr="00247D8F">
        <w:rPr>
          <w:szCs w:val="24"/>
        </w:rPr>
        <w:t>143.</w:t>
      </w:r>
    </w:p>
    <w:p w14:paraId="7B16A693" w14:textId="77777777" w:rsidR="00A7287F" w:rsidRDefault="00A7287F" w:rsidP="003652F5">
      <w:pPr>
        <w:ind w:left="720" w:hanging="720"/>
        <w:rPr>
          <w:szCs w:val="24"/>
          <w:lang w:val="de-DE"/>
        </w:rPr>
      </w:pPr>
      <w:r w:rsidRPr="00C05065">
        <w:rPr>
          <w:szCs w:val="24"/>
        </w:rPr>
        <w:t xml:space="preserve">Seligman, M. E. P., &amp; Csikszentmihalyi. </w:t>
      </w:r>
      <w:r w:rsidRPr="00247D8F">
        <w:rPr>
          <w:szCs w:val="24"/>
          <w:lang w:val="de-DE"/>
        </w:rPr>
        <w:t xml:space="preserve">(2000). Positive </w:t>
      </w:r>
      <w:r>
        <w:rPr>
          <w:szCs w:val="24"/>
          <w:lang w:val="de-DE"/>
        </w:rPr>
        <w:t>p</w:t>
      </w:r>
      <w:r w:rsidRPr="00247D8F">
        <w:rPr>
          <w:szCs w:val="24"/>
          <w:lang w:val="de-DE"/>
        </w:rPr>
        <w:t xml:space="preserve">sychology. </w:t>
      </w:r>
      <w:r w:rsidRPr="00247D8F">
        <w:rPr>
          <w:i/>
          <w:szCs w:val="24"/>
          <w:lang w:val="de-DE"/>
        </w:rPr>
        <w:t>American Psychologist, 55</w:t>
      </w:r>
      <w:r w:rsidRPr="00247D8F">
        <w:rPr>
          <w:szCs w:val="24"/>
          <w:lang w:val="de-DE"/>
        </w:rPr>
        <w:t>(1), 5</w:t>
      </w:r>
      <w:r w:rsidRPr="00247D8F">
        <w:rPr>
          <w:i/>
          <w:szCs w:val="24"/>
        </w:rPr>
        <w:t>–</w:t>
      </w:r>
      <w:r w:rsidRPr="00247D8F">
        <w:rPr>
          <w:szCs w:val="24"/>
          <w:lang w:val="de-DE"/>
        </w:rPr>
        <w:t>14.</w:t>
      </w:r>
      <w:r w:rsidRPr="00247D8F">
        <w:rPr>
          <w:rFonts w:eastAsia="MS Mincho" w:cs="Times New Roman"/>
          <w:szCs w:val="24"/>
          <w:lang w:val="de-DE" w:eastAsia="ja-JP"/>
        </w:rPr>
        <w:t xml:space="preserve"> doi:10.1037//0003-066X.55.1.5</w:t>
      </w:r>
    </w:p>
    <w:p w14:paraId="2F014D4A" w14:textId="77777777" w:rsidR="00A7287F" w:rsidRDefault="00A7287F" w:rsidP="003652F5">
      <w:pPr>
        <w:ind w:left="720" w:hanging="720"/>
        <w:rPr>
          <w:szCs w:val="24"/>
        </w:rPr>
      </w:pPr>
      <w:r w:rsidRPr="00247D8F">
        <w:rPr>
          <w:rFonts w:eastAsia="MS Mincho" w:cs="Times New Roman"/>
          <w:szCs w:val="24"/>
          <w:lang w:val="de-DE" w:eastAsia="ja-JP"/>
        </w:rPr>
        <w:t xml:space="preserve">Skinner, E. A., Furrer, C., Marchand, G., &amp; Kindermann, T. (2008). </w:t>
      </w:r>
      <w:r w:rsidRPr="00247D8F">
        <w:rPr>
          <w:rFonts w:eastAsia="MS Mincho" w:cs="Times New Roman"/>
          <w:szCs w:val="24"/>
          <w:lang w:eastAsia="ja-JP"/>
        </w:rPr>
        <w:t xml:space="preserve">Engagement and disaffection in the classroom: Part of a larger motivational dynamic? </w:t>
      </w:r>
      <w:r w:rsidRPr="00247D8F">
        <w:rPr>
          <w:rFonts w:eastAsia="MS Mincho" w:cs="Times New Roman"/>
          <w:i/>
          <w:szCs w:val="24"/>
          <w:lang w:eastAsia="ja-JP"/>
        </w:rPr>
        <w:t xml:space="preserve">Journal of Educational Psychology, </w:t>
      </w:r>
      <w:r w:rsidRPr="004B1A9D">
        <w:rPr>
          <w:rFonts w:eastAsia="MS Mincho" w:cs="Times New Roman"/>
          <w:i/>
          <w:szCs w:val="24"/>
          <w:lang w:eastAsia="ja-JP"/>
        </w:rPr>
        <w:t>100</w:t>
      </w:r>
      <w:r w:rsidRPr="00247D8F">
        <w:rPr>
          <w:rFonts w:eastAsia="MS Mincho" w:cs="Times New Roman"/>
          <w:szCs w:val="24"/>
          <w:lang w:eastAsia="ja-JP"/>
        </w:rPr>
        <w:t>(4),</w:t>
      </w:r>
      <w:r w:rsidRPr="00247D8F">
        <w:rPr>
          <w:rFonts w:eastAsia="Times-Roman" w:cs="Times New Roman"/>
          <w:szCs w:val="24"/>
          <w:lang w:eastAsia="ja-JP"/>
        </w:rPr>
        <w:t xml:space="preserve"> 765–781</w:t>
      </w:r>
      <w:r w:rsidRPr="00247D8F">
        <w:rPr>
          <w:rFonts w:eastAsia="MS Mincho" w:cs="Times New Roman"/>
          <w:szCs w:val="24"/>
          <w:lang w:eastAsia="ja-JP"/>
        </w:rPr>
        <w:t>.</w:t>
      </w:r>
    </w:p>
    <w:p w14:paraId="5FFEDB55" w14:textId="77777777" w:rsidR="00A7287F" w:rsidRDefault="00A7287F" w:rsidP="003652F5">
      <w:pPr>
        <w:ind w:left="720" w:hanging="720"/>
        <w:rPr>
          <w:rFonts w:cs="Times New Roman"/>
          <w:szCs w:val="24"/>
        </w:rPr>
      </w:pPr>
      <w:r w:rsidRPr="009D5900">
        <w:rPr>
          <w:rFonts w:cs="Times New Roman"/>
          <w:bCs/>
          <w:kern w:val="28"/>
          <w:szCs w:val="24"/>
        </w:rPr>
        <w:t>Statistics Finland.</w:t>
      </w:r>
      <w:r>
        <w:rPr>
          <w:rFonts w:cs="Times New Roman"/>
          <w:bCs/>
          <w:kern w:val="28"/>
          <w:szCs w:val="24"/>
        </w:rPr>
        <w:t xml:space="preserve"> </w:t>
      </w:r>
      <w:r w:rsidRPr="00805F68">
        <w:rPr>
          <w:rFonts w:cs="Times New Roman"/>
          <w:bCs/>
          <w:kern w:val="28"/>
          <w:szCs w:val="24"/>
        </w:rPr>
        <w:t xml:space="preserve">(2016). </w:t>
      </w:r>
      <w:r w:rsidRPr="001501E9">
        <w:rPr>
          <w:rFonts w:cs="Times New Roman"/>
          <w:bCs/>
          <w:i/>
          <w:kern w:val="28"/>
          <w:szCs w:val="24"/>
        </w:rPr>
        <w:t>Special education.</w:t>
      </w:r>
      <w:r w:rsidRPr="00805F68">
        <w:rPr>
          <w:rFonts w:cs="Times New Roman"/>
          <w:bCs/>
          <w:kern w:val="28"/>
          <w:szCs w:val="24"/>
        </w:rPr>
        <w:t xml:space="preserve"> </w:t>
      </w:r>
      <w:r w:rsidRPr="009D5900">
        <w:rPr>
          <w:rFonts w:cs="Times New Roman"/>
          <w:bCs/>
          <w:kern w:val="28"/>
          <w:szCs w:val="24"/>
        </w:rPr>
        <w:t xml:space="preserve">Retrieved from </w:t>
      </w:r>
      <w:hyperlink r:id="rId11" w:history="1">
        <w:r w:rsidRPr="009D5900">
          <w:t>http://www.stat.fi/til/erop/index_en.html</w:t>
        </w:r>
      </w:hyperlink>
      <w:r>
        <w:t xml:space="preserve"> </w:t>
      </w:r>
    </w:p>
    <w:p w14:paraId="4F3148B5" w14:textId="77777777" w:rsidR="00A7287F" w:rsidRDefault="00A7287F" w:rsidP="003652F5">
      <w:pPr>
        <w:ind w:left="720" w:hanging="720"/>
        <w:rPr>
          <w:szCs w:val="24"/>
        </w:rPr>
      </w:pPr>
      <w:r w:rsidRPr="005129A3">
        <w:rPr>
          <w:szCs w:val="24"/>
          <w:lang w:val="en-GB"/>
        </w:rPr>
        <w:t xml:space="preserve">Szumski, G., &amp; Karwowski, M. (2012). </w:t>
      </w:r>
      <w:r w:rsidRPr="00247D8F">
        <w:rPr>
          <w:szCs w:val="24"/>
        </w:rPr>
        <w:t xml:space="preserve">School achievement of children with intellectual disability: The role of socioeconomic status, placement, and parent’s ´engagement. </w:t>
      </w:r>
      <w:r w:rsidRPr="00247D8F">
        <w:rPr>
          <w:i/>
          <w:szCs w:val="24"/>
        </w:rPr>
        <w:t>Research in Developmental Disabilities, 33,</w:t>
      </w:r>
      <w:r w:rsidRPr="00247D8F">
        <w:rPr>
          <w:szCs w:val="24"/>
        </w:rPr>
        <w:t xml:space="preserve"> 1615</w:t>
      </w:r>
      <w:r w:rsidRPr="00247D8F">
        <w:rPr>
          <w:i/>
          <w:szCs w:val="24"/>
        </w:rPr>
        <w:t>–</w:t>
      </w:r>
      <w:r w:rsidRPr="00247D8F">
        <w:rPr>
          <w:szCs w:val="24"/>
        </w:rPr>
        <w:t>1625.</w:t>
      </w:r>
    </w:p>
    <w:p w14:paraId="30BF391F" w14:textId="77777777" w:rsidR="00A7287F" w:rsidRPr="006B3CE6" w:rsidRDefault="00A7287F" w:rsidP="003652F5">
      <w:pPr>
        <w:ind w:left="709" w:hanging="709"/>
        <w:rPr>
          <w:rFonts w:cs="Times New Roman"/>
          <w:szCs w:val="24"/>
          <w:lang w:val="sv-FI"/>
        </w:rPr>
      </w:pPr>
      <w:r w:rsidRPr="00663A89">
        <w:rPr>
          <w:rFonts w:cs="Times New Roman"/>
          <w:szCs w:val="24"/>
        </w:rPr>
        <w:t xml:space="preserve">The Finnish National Board of Education. </w:t>
      </w:r>
      <w:r w:rsidRPr="006B3CE6">
        <w:rPr>
          <w:rFonts w:cs="Times New Roman"/>
          <w:szCs w:val="24"/>
          <w:lang w:val="sv-FI"/>
        </w:rPr>
        <w:t xml:space="preserve">(2016). </w:t>
      </w:r>
      <w:r w:rsidRPr="000B4C0A">
        <w:rPr>
          <w:rFonts w:cs="Times New Roman"/>
          <w:i/>
          <w:szCs w:val="24"/>
          <w:lang w:val="sv-FI"/>
        </w:rPr>
        <w:t xml:space="preserve">Finnish education in a nutshell. </w:t>
      </w:r>
      <w:r>
        <w:rPr>
          <w:rFonts w:cs="Times New Roman"/>
          <w:szCs w:val="24"/>
          <w:lang w:val="sv-FI"/>
        </w:rPr>
        <w:t xml:space="preserve">Retrieved from </w:t>
      </w:r>
      <w:hyperlink r:id="rId12" w:history="1">
        <w:r w:rsidRPr="0064035E">
          <w:rPr>
            <w:lang w:val="sv-SE"/>
          </w:rPr>
          <w:t>http://www.oph.fi/download/146428_Finnish_Education_in_a_Nutshell.pdf</w:t>
        </w:r>
      </w:hyperlink>
      <w:r>
        <w:rPr>
          <w:lang w:val="sv-SE"/>
        </w:rPr>
        <w:t xml:space="preserve"> </w:t>
      </w:r>
    </w:p>
    <w:p w14:paraId="32FF2D49" w14:textId="77777777" w:rsidR="00A7287F" w:rsidRDefault="00A7287F" w:rsidP="003652F5">
      <w:pPr>
        <w:ind w:left="720" w:hanging="720"/>
        <w:rPr>
          <w:szCs w:val="24"/>
        </w:rPr>
      </w:pPr>
      <w:r w:rsidRPr="00247D8F">
        <w:rPr>
          <w:szCs w:val="24"/>
        </w:rPr>
        <w:t xml:space="preserve">Tripp, D. (1993). </w:t>
      </w:r>
      <w:r w:rsidRPr="004B1A9D">
        <w:rPr>
          <w:i/>
          <w:szCs w:val="24"/>
        </w:rPr>
        <w:t xml:space="preserve">Critical </w:t>
      </w:r>
      <w:r>
        <w:rPr>
          <w:i/>
          <w:szCs w:val="24"/>
        </w:rPr>
        <w:t>i</w:t>
      </w:r>
      <w:r w:rsidRPr="004B1A9D">
        <w:rPr>
          <w:i/>
          <w:szCs w:val="24"/>
        </w:rPr>
        <w:t xml:space="preserve">ncidents in </w:t>
      </w:r>
      <w:r>
        <w:rPr>
          <w:i/>
          <w:szCs w:val="24"/>
        </w:rPr>
        <w:t>t</w:t>
      </w:r>
      <w:r w:rsidRPr="004B1A9D">
        <w:rPr>
          <w:i/>
          <w:szCs w:val="24"/>
        </w:rPr>
        <w:t>eaching</w:t>
      </w:r>
      <w:r>
        <w:rPr>
          <w:i/>
          <w:szCs w:val="24"/>
        </w:rPr>
        <w:t>:</w:t>
      </w:r>
      <w:r w:rsidRPr="004B1A9D">
        <w:rPr>
          <w:i/>
          <w:szCs w:val="24"/>
        </w:rPr>
        <w:t xml:space="preserve"> Developing professional judgement</w:t>
      </w:r>
      <w:r w:rsidRPr="00247D8F">
        <w:rPr>
          <w:szCs w:val="24"/>
        </w:rPr>
        <w:t xml:space="preserve"> (2nd </w:t>
      </w:r>
      <w:r>
        <w:rPr>
          <w:szCs w:val="24"/>
        </w:rPr>
        <w:t>e</w:t>
      </w:r>
      <w:r w:rsidRPr="00247D8F">
        <w:rPr>
          <w:szCs w:val="24"/>
        </w:rPr>
        <w:t>d.). Great Britain, London: Routledge.</w:t>
      </w:r>
    </w:p>
    <w:p w14:paraId="027906E4" w14:textId="77777777" w:rsidR="00A7287F" w:rsidRDefault="00A7287F" w:rsidP="003652F5">
      <w:pPr>
        <w:ind w:left="720" w:hanging="720"/>
        <w:rPr>
          <w:szCs w:val="24"/>
          <w:lang w:val="en-GB"/>
        </w:rPr>
      </w:pPr>
      <w:r w:rsidRPr="009B30CF">
        <w:rPr>
          <w:szCs w:val="24"/>
          <w:lang w:val="en-GB"/>
        </w:rPr>
        <w:t xml:space="preserve">Tulis, M., &amp; Fulmer, S.M. (2013). </w:t>
      </w:r>
      <w:r w:rsidRPr="00247D8F">
        <w:rPr>
          <w:szCs w:val="24"/>
          <w:lang w:val="en-GB"/>
        </w:rPr>
        <w:t xml:space="preserve">Students’ motivational and emotional experiences and their relationship to persistence during academic challenge in mathematics and reading. </w:t>
      </w:r>
      <w:r w:rsidRPr="00247D8F">
        <w:rPr>
          <w:i/>
          <w:szCs w:val="24"/>
          <w:lang w:val="en-GB"/>
        </w:rPr>
        <w:t>Learning and Individual Differences 27</w:t>
      </w:r>
      <w:r w:rsidRPr="00247D8F">
        <w:rPr>
          <w:szCs w:val="24"/>
          <w:lang w:val="en-GB"/>
        </w:rPr>
        <w:t>, 35</w:t>
      </w:r>
      <w:r w:rsidRPr="00247D8F">
        <w:rPr>
          <w:i/>
          <w:szCs w:val="24"/>
        </w:rPr>
        <w:t>–</w:t>
      </w:r>
      <w:r w:rsidRPr="00247D8F">
        <w:rPr>
          <w:szCs w:val="24"/>
          <w:lang w:val="en-GB"/>
        </w:rPr>
        <w:t>46.</w:t>
      </w:r>
    </w:p>
    <w:p w14:paraId="780A033C" w14:textId="77777777" w:rsidR="00A7287F" w:rsidRDefault="00A7287F" w:rsidP="003652F5">
      <w:pPr>
        <w:ind w:left="720" w:hanging="720"/>
        <w:rPr>
          <w:i/>
          <w:szCs w:val="24"/>
        </w:rPr>
      </w:pPr>
      <w:r w:rsidRPr="00247D8F">
        <w:rPr>
          <w:szCs w:val="24"/>
          <w:lang w:val="en-GB"/>
        </w:rPr>
        <w:t>Ulmanen, S., Soini, T., Pietarinen, J.</w:t>
      </w:r>
      <w:r>
        <w:rPr>
          <w:szCs w:val="24"/>
          <w:lang w:val="en-GB"/>
        </w:rPr>
        <w:t>,</w:t>
      </w:r>
      <w:r w:rsidRPr="00247D8F">
        <w:rPr>
          <w:szCs w:val="24"/>
          <w:lang w:val="en-GB"/>
        </w:rPr>
        <w:t xml:space="preserve"> &amp; Pyhältö, K. (2014). Strategies for academic engagement perceived by Finnish sixth and eighth</w:t>
      </w:r>
      <w:r w:rsidRPr="00247D8F">
        <w:rPr>
          <w:szCs w:val="24"/>
          <w:vertAlign w:val="superscript"/>
          <w:lang w:val="en-GB"/>
        </w:rPr>
        <w:t xml:space="preserve"> </w:t>
      </w:r>
      <w:r w:rsidRPr="00247D8F">
        <w:rPr>
          <w:szCs w:val="24"/>
          <w:lang w:val="en-GB"/>
        </w:rPr>
        <w:t xml:space="preserve">graders. </w:t>
      </w:r>
      <w:r w:rsidRPr="00247D8F">
        <w:rPr>
          <w:i/>
          <w:szCs w:val="24"/>
        </w:rPr>
        <w:t>Cambridge Journal of Education, 44</w:t>
      </w:r>
      <w:r w:rsidRPr="004B1A9D">
        <w:rPr>
          <w:szCs w:val="24"/>
        </w:rPr>
        <w:t>(3), 425–443.</w:t>
      </w:r>
    </w:p>
    <w:p w14:paraId="332B0DA9" w14:textId="77777777" w:rsidR="00A7287F" w:rsidRDefault="00A7287F" w:rsidP="003652F5">
      <w:pPr>
        <w:ind w:left="720" w:hanging="720"/>
        <w:rPr>
          <w:rFonts w:cs="Times New Roman"/>
          <w:i/>
          <w:szCs w:val="24"/>
          <w:lang w:val="en-GB"/>
        </w:rPr>
      </w:pPr>
      <w:r w:rsidRPr="00E03064">
        <w:rPr>
          <w:rFonts w:cs="Times New Roman"/>
          <w:szCs w:val="24"/>
        </w:rPr>
        <w:t>Ulmanen, S., Soini, T., Pietarinen, J.</w:t>
      </w:r>
      <w:r>
        <w:rPr>
          <w:rFonts w:cs="Times New Roman"/>
          <w:szCs w:val="24"/>
        </w:rPr>
        <w:t>,</w:t>
      </w:r>
      <w:r w:rsidRPr="00E03064">
        <w:rPr>
          <w:rFonts w:cs="Times New Roman"/>
          <w:szCs w:val="24"/>
        </w:rPr>
        <w:t xml:space="preserve"> &amp; Pyhältö, K. (2016). The anatomy of adolescents’ emotional engagement in schoolwork. </w:t>
      </w:r>
      <w:r w:rsidRPr="00E03064">
        <w:rPr>
          <w:rStyle w:val="Emphasis"/>
          <w:rFonts w:cs="Times New Roman"/>
          <w:szCs w:val="24"/>
        </w:rPr>
        <w:t>Social Psychology of Education: An International Journal</w:t>
      </w:r>
      <w:r>
        <w:rPr>
          <w:rStyle w:val="Emphasis"/>
          <w:rFonts w:cs="Times New Roman"/>
          <w:szCs w:val="24"/>
        </w:rPr>
        <w:t>, 1</w:t>
      </w:r>
      <w:r w:rsidRPr="00247D8F">
        <w:rPr>
          <w:i/>
          <w:szCs w:val="24"/>
        </w:rPr>
        <w:t>–</w:t>
      </w:r>
      <w:r>
        <w:rPr>
          <w:rStyle w:val="Emphasis"/>
          <w:rFonts w:cs="Times New Roman"/>
          <w:szCs w:val="24"/>
        </w:rPr>
        <w:t>20</w:t>
      </w:r>
      <w:r w:rsidRPr="00E03064">
        <w:rPr>
          <w:rStyle w:val="Emphasis"/>
          <w:rFonts w:cs="Times New Roman"/>
          <w:szCs w:val="24"/>
        </w:rPr>
        <w:t xml:space="preserve">. </w:t>
      </w:r>
      <w:r w:rsidRPr="009E4B82">
        <w:rPr>
          <w:rStyle w:val="Emphasis"/>
          <w:rFonts w:cs="Times New Roman"/>
          <w:i w:val="0"/>
          <w:szCs w:val="24"/>
        </w:rPr>
        <w:t>Online</w:t>
      </w:r>
      <w:r>
        <w:rPr>
          <w:rStyle w:val="Emphasis"/>
          <w:rFonts w:cs="Times New Roman"/>
          <w:i w:val="0"/>
          <w:szCs w:val="24"/>
        </w:rPr>
        <w:t xml:space="preserve"> publication. doi:</w:t>
      </w:r>
      <w:r w:rsidRPr="004B1A9D">
        <w:rPr>
          <w:rStyle w:val="Emphasis"/>
          <w:rFonts w:cs="Times New Roman"/>
          <w:i w:val="0"/>
          <w:szCs w:val="24"/>
        </w:rPr>
        <w:t>10.1007/s11218-016-9343-0.</w:t>
      </w:r>
    </w:p>
    <w:p w14:paraId="15B7D65A" w14:textId="77777777" w:rsidR="00A7287F" w:rsidRDefault="00A7287F" w:rsidP="003652F5">
      <w:pPr>
        <w:ind w:left="720" w:hanging="720"/>
        <w:rPr>
          <w:szCs w:val="24"/>
          <w:lang w:val="fi-FI"/>
        </w:rPr>
      </w:pPr>
      <w:r w:rsidRPr="00247D8F">
        <w:rPr>
          <w:szCs w:val="24"/>
        </w:rPr>
        <w:t xml:space="preserve">Upadyaya, </w:t>
      </w:r>
      <w:r w:rsidRPr="00663A89">
        <w:rPr>
          <w:szCs w:val="24"/>
        </w:rPr>
        <w:t>K., &amp; Salmela</w:t>
      </w:r>
      <w:r w:rsidRPr="00247D8F">
        <w:rPr>
          <w:szCs w:val="24"/>
        </w:rPr>
        <w:t xml:space="preserve">-Aro, K. (2011, September). Schoolwork </w:t>
      </w:r>
      <w:r>
        <w:rPr>
          <w:szCs w:val="24"/>
        </w:rPr>
        <w:t>e</w:t>
      </w:r>
      <w:r w:rsidRPr="00247D8F">
        <w:rPr>
          <w:szCs w:val="24"/>
        </w:rPr>
        <w:t xml:space="preserve">ngagement among Finnish </w:t>
      </w:r>
      <w:r>
        <w:rPr>
          <w:szCs w:val="24"/>
        </w:rPr>
        <w:t>a</w:t>
      </w:r>
      <w:r w:rsidRPr="00247D8F">
        <w:rPr>
          <w:szCs w:val="24"/>
        </w:rPr>
        <w:t xml:space="preserve">dolescents: Introducing a </w:t>
      </w:r>
      <w:r>
        <w:rPr>
          <w:szCs w:val="24"/>
        </w:rPr>
        <w:t>n</w:t>
      </w:r>
      <w:r w:rsidRPr="00247D8F">
        <w:rPr>
          <w:szCs w:val="24"/>
        </w:rPr>
        <w:t xml:space="preserve">ew </w:t>
      </w:r>
      <w:r>
        <w:rPr>
          <w:szCs w:val="24"/>
        </w:rPr>
        <w:t>i</w:t>
      </w:r>
      <w:r w:rsidRPr="00247D8F">
        <w:rPr>
          <w:szCs w:val="24"/>
        </w:rPr>
        <w:t xml:space="preserve">nventory. </w:t>
      </w:r>
      <w:r w:rsidRPr="00247D8F">
        <w:rPr>
          <w:i/>
          <w:szCs w:val="24"/>
          <w:lang w:val="fi-FI"/>
        </w:rPr>
        <w:t>Pathfinder. The Pathways to Adulthood Newsletter</w:t>
      </w:r>
      <w:r w:rsidRPr="00247D8F">
        <w:rPr>
          <w:szCs w:val="24"/>
          <w:lang w:val="fi-FI"/>
        </w:rPr>
        <w:t>, 6</w:t>
      </w:r>
      <w:r w:rsidRPr="0064035E">
        <w:rPr>
          <w:i/>
          <w:szCs w:val="24"/>
          <w:lang w:val="fi-FI"/>
        </w:rPr>
        <w:t>–</w:t>
      </w:r>
      <w:r w:rsidRPr="00247D8F">
        <w:rPr>
          <w:szCs w:val="24"/>
          <w:lang w:val="fi-FI"/>
        </w:rPr>
        <w:t xml:space="preserve">7. </w:t>
      </w:r>
    </w:p>
    <w:p w14:paraId="48A6F8E3" w14:textId="77777777" w:rsidR="00A7287F" w:rsidRDefault="00A7287F" w:rsidP="003652F5">
      <w:pPr>
        <w:autoSpaceDE w:val="0"/>
        <w:autoSpaceDN w:val="0"/>
        <w:adjustRightInd w:val="0"/>
        <w:ind w:left="851" w:hanging="851"/>
        <w:rPr>
          <w:rFonts w:cs="Times New Roman"/>
          <w:color w:val="231F20"/>
          <w:szCs w:val="24"/>
          <w:lang w:val="en-GB"/>
        </w:rPr>
      </w:pPr>
      <w:r w:rsidRPr="00247D8F">
        <w:rPr>
          <w:rFonts w:cs="Times New Roman"/>
          <w:color w:val="231F20"/>
          <w:szCs w:val="24"/>
          <w:lang w:val="fi-FI"/>
        </w:rPr>
        <w:t xml:space="preserve">Uusitalo-Malmivaara, L., Kankaanpää, P., Makinen, T., Raeluoto, R., Rauttu, K., Tarhala, V., &amp; Lehto, J. E. (2012). </w:t>
      </w:r>
      <w:r w:rsidRPr="00247D8F">
        <w:rPr>
          <w:rFonts w:cs="Times New Roman"/>
          <w:color w:val="231F20"/>
          <w:szCs w:val="24"/>
          <w:lang w:val="en-GB"/>
        </w:rPr>
        <w:t xml:space="preserve">Are </w:t>
      </w:r>
      <w:r>
        <w:rPr>
          <w:rFonts w:cs="Times New Roman"/>
          <w:color w:val="231F20"/>
          <w:szCs w:val="24"/>
          <w:lang w:val="en-GB"/>
        </w:rPr>
        <w:t>s</w:t>
      </w:r>
      <w:r w:rsidRPr="00247D8F">
        <w:rPr>
          <w:rFonts w:cs="Times New Roman"/>
          <w:color w:val="231F20"/>
          <w:szCs w:val="24"/>
          <w:lang w:val="en-GB"/>
        </w:rPr>
        <w:t xml:space="preserve">pecial </w:t>
      </w:r>
      <w:r>
        <w:rPr>
          <w:rFonts w:cs="Times New Roman"/>
          <w:color w:val="231F20"/>
          <w:szCs w:val="24"/>
          <w:lang w:val="en-GB"/>
        </w:rPr>
        <w:t>e</w:t>
      </w:r>
      <w:r w:rsidRPr="00247D8F">
        <w:rPr>
          <w:rFonts w:cs="Times New Roman"/>
          <w:color w:val="231F20"/>
          <w:szCs w:val="24"/>
          <w:lang w:val="en-GB"/>
        </w:rPr>
        <w:t xml:space="preserve">ducation </w:t>
      </w:r>
      <w:r>
        <w:rPr>
          <w:rFonts w:cs="Times New Roman"/>
          <w:color w:val="231F20"/>
          <w:szCs w:val="24"/>
          <w:lang w:val="en-GB"/>
        </w:rPr>
        <w:t>s</w:t>
      </w:r>
      <w:r w:rsidRPr="00247D8F">
        <w:rPr>
          <w:rFonts w:cs="Times New Roman"/>
          <w:color w:val="231F20"/>
          <w:szCs w:val="24"/>
          <w:lang w:val="en-GB"/>
        </w:rPr>
        <w:t xml:space="preserve">tudents </w:t>
      </w:r>
      <w:r>
        <w:rPr>
          <w:rFonts w:cs="Times New Roman"/>
          <w:color w:val="231F20"/>
          <w:szCs w:val="24"/>
          <w:lang w:val="en-GB"/>
        </w:rPr>
        <w:t>h</w:t>
      </w:r>
      <w:r w:rsidRPr="00247D8F">
        <w:rPr>
          <w:rFonts w:cs="Times New Roman"/>
          <w:color w:val="231F20"/>
          <w:szCs w:val="24"/>
          <w:lang w:val="en-GB"/>
        </w:rPr>
        <w:t xml:space="preserve">appy? </w:t>
      </w:r>
      <w:r w:rsidRPr="00247D8F">
        <w:rPr>
          <w:rFonts w:cs="Times New Roman"/>
          <w:i/>
          <w:color w:val="231F20"/>
          <w:szCs w:val="24"/>
          <w:lang w:val="en-GB"/>
        </w:rPr>
        <w:t>Scandinavian Journal of Educational Research</w:t>
      </w:r>
      <w:r>
        <w:rPr>
          <w:rFonts w:cs="Times New Roman"/>
          <w:i/>
          <w:color w:val="231F20"/>
          <w:szCs w:val="24"/>
          <w:lang w:val="en-GB"/>
        </w:rPr>
        <w:t>,</w:t>
      </w:r>
      <w:r w:rsidRPr="00247D8F">
        <w:rPr>
          <w:rFonts w:cs="Times New Roman"/>
          <w:i/>
          <w:color w:val="231F20"/>
          <w:szCs w:val="24"/>
          <w:lang w:val="en-GB"/>
        </w:rPr>
        <w:t xml:space="preserve"> 56</w:t>
      </w:r>
      <w:r w:rsidRPr="00247D8F">
        <w:rPr>
          <w:rFonts w:cs="Times New Roman"/>
          <w:color w:val="231F20"/>
          <w:szCs w:val="24"/>
          <w:lang w:val="en-GB"/>
        </w:rPr>
        <w:t>(4), 419</w:t>
      </w:r>
      <w:r w:rsidRPr="00247D8F">
        <w:rPr>
          <w:i/>
          <w:szCs w:val="24"/>
        </w:rPr>
        <w:t>–</w:t>
      </w:r>
      <w:r w:rsidRPr="00247D8F">
        <w:rPr>
          <w:rFonts w:cs="Times New Roman"/>
          <w:color w:val="231F20"/>
          <w:szCs w:val="24"/>
          <w:lang w:val="en-GB"/>
        </w:rPr>
        <w:t xml:space="preserve">437. </w:t>
      </w:r>
    </w:p>
    <w:p w14:paraId="48A6ED2A" w14:textId="77777777" w:rsidR="00A7287F" w:rsidRDefault="00A7287F" w:rsidP="003652F5">
      <w:pPr>
        <w:ind w:left="720" w:hanging="720"/>
        <w:rPr>
          <w:szCs w:val="24"/>
        </w:rPr>
      </w:pPr>
      <w:r w:rsidRPr="00247D8F">
        <w:rPr>
          <w:szCs w:val="24"/>
        </w:rPr>
        <w:lastRenderedPageBreak/>
        <w:t xml:space="preserve">Vincze, </w:t>
      </w:r>
      <w:r w:rsidRPr="00663A89">
        <w:rPr>
          <w:szCs w:val="24"/>
        </w:rPr>
        <w:t>L., &amp; Harwood, J. (2</w:t>
      </w:r>
      <w:r w:rsidRPr="00247D8F">
        <w:rPr>
          <w:szCs w:val="24"/>
        </w:rPr>
        <w:t xml:space="preserve">015). Language competence as a moderator of ethno linguistic identity gratifications among three language minorities in Europe. </w:t>
      </w:r>
      <w:r w:rsidRPr="00247D8F">
        <w:rPr>
          <w:i/>
          <w:szCs w:val="24"/>
        </w:rPr>
        <w:t>Studies in Communication</w:t>
      </w:r>
      <w:r>
        <w:rPr>
          <w:i/>
          <w:szCs w:val="24"/>
        </w:rPr>
        <w:t xml:space="preserve"> Sciences, 15</w:t>
      </w:r>
      <w:r>
        <w:rPr>
          <w:szCs w:val="24"/>
        </w:rPr>
        <w:t>, 151-157.</w:t>
      </w:r>
    </w:p>
    <w:p w14:paraId="46E52FC9" w14:textId="77777777" w:rsidR="00A7287F" w:rsidRDefault="00A7287F" w:rsidP="003652F5">
      <w:pPr>
        <w:ind w:left="720" w:hanging="720"/>
        <w:rPr>
          <w:szCs w:val="24"/>
        </w:rPr>
      </w:pPr>
      <w:r w:rsidRPr="00247D8F">
        <w:rPr>
          <w:szCs w:val="24"/>
        </w:rPr>
        <w:t>Wu, J- Y., Hughes, J. N., &amp; Kwok, O- M. (2010</w:t>
      </w:r>
      <w:r w:rsidRPr="004B1A9D">
        <w:rPr>
          <w:szCs w:val="24"/>
        </w:rPr>
        <w:t>).</w:t>
      </w:r>
      <w:r w:rsidRPr="00247D8F">
        <w:rPr>
          <w:i/>
          <w:szCs w:val="24"/>
        </w:rPr>
        <w:t xml:space="preserve"> </w:t>
      </w:r>
      <w:r w:rsidRPr="00247D8F">
        <w:rPr>
          <w:szCs w:val="24"/>
        </w:rPr>
        <w:t>Teacher-student relationship quality type in elementary grades: Effects on trajectories for achievement and engagement.</w:t>
      </w:r>
      <w:r w:rsidRPr="00247D8F">
        <w:rPr>
          <w:i/>
          <w:szCs w:val="24"/>
        </w:rPr>
        <w:t xml:space="preserve"> Journal of School Psychology, 48, </w:t>
      </w:r>
      <w:r w:rsidRPr="004B1A9D">
        <w:rPr>
          <w:szCs w:val="24"/>
        </w:rPr>
        <w:t>357–387.</w:t>
      </w:r>
    </w:p>
    <w:p w14:paraId="61670F74" w14:textId="77777777" w:rsidR="00A7287F" w:rsidRDefault="00A7287F" w:rsidP="003652F5">
      <w:pPr>
        <w:ind w:left="720" w:hanging="720"/>
        <w:rPr>
          <w:szCs w:val="24"/>
        </w:rPr>
      </w:pPr>
      <w:r w:rsidRPr="009B30CF">
        <w:rPr>
          <w:szCs w:val="24"/>
          <w:lang w:val="en-GB"/>
        </w:rPr>
        <w:t>Yunus, M. M., Osman, W. S. W., &amp; Ishak, N. M.</w:t>
      </w:r>
      <w:r w:rsidRPr="00887A59">
        <w:rPr>
          <w:szCs w:val="24"/>
          <w:lang w:val="en-GB"/>
        </w:rPr>
        <w:t xml:space="preserve"> (</w:t>
      </w:r>
      <w:r w:rsidRPr="004B1A9D">
        <w:rPr>
          <w:szCs w:val="24"/>
          <w:lang w:val="en-GB"/>
        </w:rPr>
        <w:t>2011).</w:t>
      </w:r>
      <w:r w:rsidRPr="00887A59">
        <w:rPr>
          <w:szCs w:val="24"/>
          <w:lang w:val="en-GB"/>
        </w:rPr>
        <w:t xml:space="preserve"> </w:t>
      </w:r>
      <w:r w:rsidRPr="00247D8F">
        <w:rPr>
          <w:szCs w:val="24"/>
        </w:rPr>
        <w:t>Teacher-student relationship factor affecting motivation and academic achievement in ESL classroom</w:t>
      </w:r>
      <w:r w:rsidRPr="00247D8F">
        <w:rPr>
          <w:i/>
          <w:szCs w:val="24"/>
        </w:rPr>
        <w:t>. Procedia Social and Behavioral Sciences, 15</w:t>
      </w:r>
      <w:r w:rsidRPr="00247D8F">
        <w:rPr>
          <w:szCs w:val="24"/>
        </w:rPr>
        <w:t>, 2637</w:t>
      </w:r>
      <w:r w:rsidRPr="00247D8F">
        <w:rPr>
          <w:i/>
          <w:szCs w:val="24"/>
        </w:rPr>
        <w:t>–</w:t>
      </w:r>
      <w:r w:rsidRPr="00247D8F">
        <w:rPr>
          <w:szCs w:val="24"/>
        </w:rPr>
        <w:t>2641.</w:t>
      </w:r>
    </w:p>
    <w:p w14:paraId="49C8C263" w14:textId="77777777" w:rsidR="009110E7" w:rsidRDefault="009110E7" w:rsidP="003652F5">
      <w:pPr>
        <w:widowControl w:val="0"/>
        <w:overflowPunct w:val="0"/>
        <w:autoSpaceDE w:val="0"/>
        <w:autoSpaceDN w:val="0"/>
        <w:adjustRightInd w:val="0"/>
        <w:ind w:left="720" w:hanging="720"/>
        <w:rPr>
          <w:szCs w:val="24"/>
        </w:rPr>
      </w:pPr>
    </w:p>
    <w:sectPr w:rsidR="009110E7" w:rsidSect="00F2406A">
      <w:headerReference w:type="default" r:id="rId13"/>
      <w:footerReference w:type="default" r:id="rId14"/>
      <w:pgSz w:w="11906" w:h="16838"/>
      <w:pgMar w:top="1440" w:right="1440" w:bottom="1440" w:left="1440" w:header="709" w:footer="709"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08ECF" w14:textId="77777777" w:rsidR="00C44736" w:rsidRDefault="00C44736" w:rsidP="009D2028">
      <w:r>
        <w:separator/>
      </w:r>
    </w:p>
  </w:endnote>
  <w:endnote w:type="continuationSeparator" w:id="0">
    <w:p w14:paraId="230C285B" w14:textId="77777777" w:rsidR="00C44736" w:rsidRDefault="00C44736" w:rsidP="009D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92142684"/>
      <w:docPartObj>
        <w:docPartGallery w:val="Page Numbers (Bottom of Page)"/>
        <w:docPartUnique/>
      </w:docPartObj>
    </w:sdtPr>
    <w:sdtContent>
      <w:p w14:paraId="56B3E898" w14:textId="77777777" w:rsidR="001609CD" w:rsidRPr="00C27963" w:rsidRDefault="001609CD">
        <w:pPr>
          <w:pStyle w:val="Footer"/>
          <w:jc w:val="center"/>
          <w:rPr>
            <w:sz w:val="22"/>
          </w:rPr>
        </w:pPr>
        <w:r w:rsidRPr="00C27963">
          <w:rPr>
            <w:sz w:val="22"/>
          </w:rPr>
          <w:fldChar w:fldCharType="begin"/>
        </w:r>
        <w:r w:rsidRPr="00C27963">
          <w:rPr>
            <w:sz w:val="22"/>
          </w:rPr>
          <w:instrText>PAGE   \* MERGEFORMAT</w:instrText>
        </w:r>
        <w:r w:rsidRPr="00C27963">
          <w:rPr>
            <w:sz w:val="22"/>
          </w:rPr>
          <w:fldChar w:fldCharType="separate"/>
        </w:r>
        <w:r w:rsidR="009174B4" w:rsidRPr="009174B4">
          <w:rPr>
            <w:noProof/>
            <w:sz w:val="22"/>
            <w:lang w:val="fi-FI"/>
          </w:rPr>
          <w:t>49</w:t>
        </w:r>
        <w:r w:rsidRPr="00C27963">
          <w:rPr>
            <w:sz w:val="22"/>
          </w:rPr>
          <w:fldChar w:fldCharType="end"/>
        </w:r>
      </w:p>
    </w:sdtContent>
  </w:sdt>
  <w:p w14:paraId="4EEF02FB" w14:textId="77777777" w:rsidR="001609CD" w:rsidRPr="00C27963" w:rsidRDefault="001609CD">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C3286" w14:textId="77777777" w:rsidR="00C44736" w:rsidRDefault="00C44736" w:rsidP="009D2028">
      <w:r>
        <w:separator/>
      </w:r>
    </w:p>
  </w:footnote>
  <w:footnote w:type="continuationSeparator" w:id="0">
    <w:p w14:paraId="4891179A" w14:textId="77777777" w:rsidR="00C44736" w:rsidRDefault="00C44736" w:rsidP="009D2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197A7" w14:textId="77777777" w:rsidR="001609CD" w:rsidRDefault="001609CD" w:rsidP="00F2406A">
    <w:pPr>
      <w:pStyle w:val="Header"/>
      <w:jc w:val="center"/>
      <w:rPr>
        <w:b/>
      </w:rPr>
    </w:pPr>
    <w:r>
      <w:rPr>
        <w:b/>
      </w:rPr>
      <w:t>INTERNATIONAL JOURNAL OF WHOLE SCHOOLING</w:t>
    </w:r>
  </w:p>
  <w:p w14:paraId="65A3D25C" w14:textId="77777777" w:rsidR="001609CD" w:rsidRPr="00F2406A" w:rsidRDefault="001609CD" w:rsidP="00F2406A">
    <w:pPr>
      <w:pStyle w:val="Header"/>
      <w:jc w:val="center"/>
      <w:rPr>
        <w:b/>
      </w:rPr>
    </w:pPr>
    <w:r>
      <w:rPr>
        <w:b/>
      </w:rPr>
      <w:t>SPECIAL ISSUE, JANUARY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48B2"/>
    <w:multiLevelType w:val="hybridMultilevel"/>
    <w:tmpl w:val="75B04916"/>
    <w:lvl w:ilvl="0" w:tplc="FC468E6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112AA"/>
    <w:multiLevelType w:val="hybridMultilevel"/>
    <w:tmpl w:val="C3623392"/>
    <w:lvl w:ilvl="0" w:tplc="2250BB4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912B8"/>
    <w:multiLevelType w:val="hybridMultilevel"/>
    <w:tmpl w:val="E66081E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36F49"/>
    <w:rsid w:val="00000096"/>
    <w:rsid w:val="00000D12"/>
    <w:rsid w:val="000019CB"/>
    <w:rsid w:val="000028C5"/>
    <w:rsid w:val="000035EA"/>
    <w:rsid w:val="00003A1C"/>
    <w:rsid w:val="0000411E"/>
    <w:rsid w:val="00006BB1"/>
    <w:rsid w:val="00006DE1"/>
    <w:rsid w:val="00010401"/>
    <w:rsid w:val="00010D90"/>
    <w:rsid w:val="00010FB4"/>
    <w:rsid w:val="00012091"/>
    <w:rsid w:val="0001234F"/>
    <w:rsid w:val="00013222"/>
    <w:rsid w:val="000134EE"/>
    <w:rsid w:val="00014101"/>
    <w:rsid w:val="000143DF"/>
    <w:rsid w:val="00014A09"/>
    <w:rsid w:val="00015466"/>
    <w:rsid w:val="0001611A"/>
    <w:rsid w:val="0001616A"/>
    <w:rsid w:val="0001642B"/>
    <w:rsid w:val="00017226"/>
    <w:rsid w:val="000203CD"/>
    <w:rsid w:val="000214FD"/>
    <w:rsid w:val="000219BF"/>
    <w:rsid w:val="0002241C"/>
    <w:rsid w:val="000229B9"/>
    <w:rsid w:val="00024761"/>
    <w:rsid w:val="00026C30"/>
    <w:rsid w:val="00026DB9"/>
    <w:rsid w:val="000279D3"/>
    <w:rsid w:val="00030D7F"/>
    <w:rsid w:val="00031D2D"/>
    <w:rsid w:val="0003229D"/>
    <w:rsid w:val="000327A2"/>
    <w:rsid w:val="00034A9F"/>
    <w:rsid w:val="00035CCC"/>
    <w:rsid w:val="000378DA"/>
    <w:rsid w:val="0003796D"/>
    <w:rsid w:val="00040C46"/>
    <w:rsid w:val="000413E2"/>
    <w:rsid w:val="00041DEF"/>
    <w:rsid w:val="0004260D"/>
    <w:rsid w:val="00043A51"/>
    <w:rsid w:val="00044785"/>
    <w:rsid w:val="00044950"/>
    <w:rsid w:val="00044C4C"/>
    <w:rsid w:val="0004529D"/>
    <w:rsid w:val="00046F00"/>
    <w:rsid w:val="00050135"/>
    <w:rsid w:val="00050D1C"/>
    <w:rsid w:val="00051633"/>
    <w:rsid w:val="000535E7"/>
    <w:rsid w:val="00053D1D"/>
    <w:rsid w:val="00054C91"/>
    <w:rsid w:val="00055306"/>
    <w:rsid w:val="00055358"/>
    <w:rsid w:val="00055830"/>
    <w:rsid w:val="00055874"/>
    <w:rsid w:val="0005607D"/>
    <w:rsid w:val="00056CB4"/>
    <w:rsid w:val="00057378"/>
    <w:rsid w:val="0006352B"/>
    <w:rsid w:val="000636D5"/>
    <w:rsid w:val="000644FF"/>
    <w:rsid w:val="00064BE7"/>
    <w:rsid w:val="00065777"/>
    <w:rsid w:val="000701FA"/>
    <w:rsid w:val="00070A77"/>
    <w:rsid w:val="000718CD"/>
    <w:rsid w:val="000719C7"/>
    <w:rsid w:val="00073C03"/>
    <w:rsid w:val="00073E8C"/>
    <w:rsid w:val="00074BBE"/>
    <w:rsid w:val="00075455"/>
    <w:rsid w:val="0007670C"/>
    <w:rsid w:val="0007686A"/>
    <w:rsid w:val="00076BCE"/>
    <w:rsid w:val="00076C02"/>
    <w:rsid w:val="00080DA6"/>
    <w:rsid w:val="00081131"/>
    <w:rsid w:val="00083480"/>
    <w:rsid w:val="0008381A"/>
    <w:rsid w:val="000848AE"/>
    <w:rsid w:val="00086A21"/>
    <w:rsid w:val="0008750C"/>
    <w:rsid w:val="00087A9C"/>
    <w:rsid w:val="000900A7"/>
    <w:rsid w:val="0009051D"/>
    <w:rsid w:val="00090ADE"/>
    <w:rsid w:val="00090EFF"/>
    <w:rsid w:val="0009377E"/>
    <w:rsid w:val="00094B3F"/>
    <w:rsid w:val="000957B5"/>
    <w:rsid w:val="00096A34"/>
    <w:rsid w:val="00097673"/>
    <w:rsid w:val="000A0409"/>
    <w:rsid w:val="000A0F9A"/>
    <w:rsid w:val="000A2E6E"/>
    <w:rsid w:val="000A36A6"/>
    <w:rsid w:val="000A4E19"/>
    <w:rsid w:val="000A5CFF"/>
    <w:rsid w:val="000A6F7F"/>
    <w:rsid w:val="000A71D0"/>
    <w:rsid w:val="000A7EA7"/>
    <w:rsid w:val="000A7FEF"/>
    <w:rsid w:val="000B23DC"/>
    <w:rsid w:val="000B5BD5"/>
    <w:rsid w:val="000B6945"/>
    <w:rsid w:val="000B6B0E"/>
    <w:rsid w:val="000B7705"/>
    <w:rsid w:val="000B78ED"/>
    <w:rsid w:val="000C0ED2"/>
    <w:rsid w:val="000C4B6E"/>
    <w:rsid w:val="000C7298"/>
    <w:rsid w:val="000D056A"/>
    <w:rsid w:val="000D1C5C"/>
    <w:rsid w:val="000D1C84"/>
    <w:rsid w:val="000D282A"/>
    <w:rsid w:val="000D33CE"/>
    <w:rsid w:val="000D3CE4"/>
    <w:rsid w:val="000D4163"/>
    <w:rsid w:val="000D424C"/>
    <w:rsid w:val="000D5DAA"/>
    <w:rsid w:val="000D61AA"/>
    <w:rsid w:val="000D7BB5"/>
    <w:rsid w:val="000E2377"/>
    <w:rsid w:val="000E32A9"/>
    <w:rsid w:val="000E51D0"/>
    <w:rsid w:val="000E559D"/>
    <w:rsid w:val="000E5C7A"/>
    <w:rsid w:val="000E7A54"/>
    <w:rsid w:val="000F028C"/>
    <w:rsid w:val="000F2796"/>
    <w:rsid w:val="000F2801"/>
    <w:rsid w:val="000F2AD7"/>
    <w:rsid w:val="000F3CFC"/>
    <w:rsid w:val="000F403C"/>
    <w:rsid w:val="000F4CD3"/>
    <w:rsid w:val="000F550C"/>
    <w:rsid w:val="000F5B4D"/>
    <w:rsid w:val="000F6C0A"/>
    <w:rsid w:val="0010258C"/>
    <w:rsid w:val="00102B8F"/>
    <w:rsid w:val="00105809"/>
    <w:rsid w:val="001062DC"/>
    <w:rsid w:val="00106515"/>
    <w:rsid w:val="00107648"/>
    <w:rsid w:val="001100FF"/>
    <w:rsid w:val="0011138A"/>
    <w:rsid w:val="0011178E"/>
    <w:rsid w:val="00111C57"/>
    <w:rsid w:val="00114019"/>
    <w:rsid w:val="0011409A"/>
    <w:rsid w:val="001146EB"/>
    <w:rsid w:val="00120C70"/>
    <w:rsid w:val="00120CF9"/>
    <w:rsid w:val="00122B93"/>
    <w:rsid w:val="001261A1"/>
    <w:rsid w:val="00126569"/>
    <w:rsid w:val="00131FFA"/>
    <w:rsid w:val="0013416C"/>
    <w:rsid w:val="00134202"/>
    <w:rsid w:val="00134C8C"/>
    <w:rsid w:val="0013602A"/>
    <w:rsid w:val="00136195"/>
    <w:rsid w:val="00137A28"/>
    <w:rsid w:val="00140036"/>
    <w:rsid w:val="0014046B"/>
    <w:rsid w:val="00141434"/>
    <w:rsid w:val="00141D07"/>
    <w:rsid w:val="00142BA4"/>
    <w:rsid w:val="0014330E"/>
    <w:rsid w:val="00143804"/>
    <w:rsid w:val="00143C7C"/>
    <w:rsid w:val="00146BD5"/>
    <w:rsid w:val="0014750F"/>
    <w:rsid w:val="00150A22"/>
    <w:rsid w:val="00151046"/>
    <w:rsid w:val="0015147C"/>
    <w:rsid w:val="0015263D"/>
    <w:rsid w:val="0015283B"/>
    <w:rsid w:val="00152860"/>
    <w:rsid w:val="001529A6"/>
    <w:rsid w:val="0015414E"/>
    <w:rsid w:val="001552B0"/>
    <w:rsid w:val="0015644C"/>
    <w:rsid w:val="00157A74"/>
    <w:rsid w:val="00157C7A"/>
    <w:rsid w:val="00160032"/>
    <w:rsid w:val="001603D2"/>
    <w:rsid w:val="001609CD"/>
    <w:rsid w:val="00162F26"/>
    <w:rsid w:val="001648F4"/>
    <w:rsid w:val="00166477"/>
    <w:rsid w:val="00176846"/>
    <w:rsid w:val="001768C4"/>
    <w:rsid w:val="00182106"/>
    <w:rsid w:val="00182283"/>
    <w:rsid w:val="00182B71"/>
    <w:rsid w:val="00185C94"/>
    <w:rsid w:val="00185D6D"/>
    <w:rsid w:val="00187005"/>
    <w:rsid w:val="00190739"/>
    <w:rsid w:val="00191052"/>
    <w:rsid w:val="001910CB"/>
    <w:rsid w:val="00191892"/>
    <w:rsid w:val="00192144"/>
    <w:rsid w:val="00193B62"/>
    <w:rsid w:val="001953D7"/>
    <w:rsid w:val="001960F7"/>
    <w:rsid w:val="001968E2"/>
    <w:rsid w:val="001971B8"/>
    <w:rsid w:val="001978A8"/>
    <w:rsid w:val="00197926"/>
    <w:rsid w:val="00197C63"/>
    <w:rsid w:val="001A2520"/>
    <w:rsid w:val="001A3174"/>
    <w:rsid w:val="001A31DF"/>
    <w:rsid w:val="001A3311"/>
    <w:rsid w:val="001A35D0"/>
    <w:rsid w:val="001A394A"/>
    <w:rsid w:val="001A427B"/>
    <w:rsid w:val="001A43D8"/>
    <w:rsid w:val="001A7F71"/>
    <w:rsid w:val="001B05B2"/>
    <w:rsid w:val="001B2323"/>
    <w:rsid w:val="001B301C"/>
    <w:rsid w:val="001B4172"/>
    <w:rsid w:val="001B6F4A"/>
    <w:rsid w:val="001B7466"/>
    <w:rsid w:val="001B7695"/>
    <w:rsid w:val="001C024A"/>
    <w:rsid w:val="001C1382"/>
    <w:rsid w:val="001C13D3"/>
    <w:rsid w:val="001C400E"/>
    <w:rsid w:val="001C4483"/>
    <w:rsid w:val="001C528B"/>
    <w:rsid w:val="001C65DB"/>
    <w:rsid w:val="001D00F3"/>
    <w:rsid w:val="001D03D0"/>
    <w:rsid w:val="001D1077"/>
    <w:rsid w:val="001D4912"/>
    <w:rsid w:val="001D4E6E"/>
    <w:rsid w:val="001D52F7"/>
    <w:rsid w:val="001D70E3"/>
    <w:rsid w:val="001D725C"/>
    <w:rsid w:val="001D7CA5"/>
    <w:rsid w:val="001D7E9B"/>
    <w:rsid w:val="001E038E"/>
    <w:rsid w:val="001E1088"/>
    <w:rsid w:val="001E188F"/>
    <w:rsid w:val="001E24EB"/>
    <w:rsid w:val="001E4E58"/>
    <w:rsid w:val="001E5588"/>
    <w:rsid w:val="001E5870"/>
    <w:rsid w:val="001E63CB"/>
    <w:rsid w:val="001E6B97"/>
    <w:rsid w:val="001F0A78"/>
    <w:rsid w:val="001F1A4B"/>
    <w:rsid w:val="001F7C82"/>
    <w:rsid w:val="002004FC"/>
    <w:rsid w:val="002032F2"/>
    <w:rsid w:val="00203430"/>
    <w:rsid w:val="00204552"/>
    <w:rsid w:val="00204B45"/>
    <w:rsid w:val="00204E44"/>
    <w:rsid w:val="00206CF0"/>
    <w:rsid w:val="00206D97"/>
    <w:rsid w:val="00207C93"/>
    <w:rsid w:val="0021086B"/>
    <w:rsid w:val="00211C22"/>
    <w:rsid w:val="002120D9"/>
    <w:rsid w:val="002140ED"/>
    <w:rsid w:val="00217CFA"/>
    <w:rsid w:val="002208AB"/>
    <w:rsid w:val="00221B17"/>
    <w:rsid w:val="00223DA4"/>
    <w:rsid w:val="002258F9"/>
    <w:rsid w:val="0022635F"/>
    <w:rsid w:val="002308EC"/>
    <w:rsid w:val="00231A12"/>
    <w:rsid w:val="00231F09"/>
    <w:rsid w:val="00233B55"/>
    <w:rsid w:val="00233B59"/>
    <w:rsid w:val="00234229"/>
    <w:rsid w:val="00234349"/>
    <w:rsid w:val="00234523"/>
    <w:rsid w:val="00234ED0"/>
    <w:rsid w:val="00235D47"/>
    <w:rsid w:val="0023783C"/>
    <w:rsid w:val="00240672"/>
    <w:rsid w:val="00243562"/>
    <w:rsid w:val="0024380B"/>
    <w:rsid w:val="002445C6"/>
    <w:rsid w:val="00244A4D"/>
    <w:rsid w:val="00244C3A"/>
    <w:rsid w:val="00246749"/>
    <w:rsid w:val="00246D31"/>
    <w:rsid w:val="00247D8F"/>
    <w:rsid w:val="00250025"/>
    <w:rsid w:val="0025085A"/>
    <w:rsid w:val="00252796"/>
    <w:rsid w:val="002536C9"/>
    <w:rsid w:val="00253D04"/>
    <w:rsid w:val="00254F14"/>
    <w:rsid w:val="00256C0B"/>
    <w:rsid w:val="00260CED"/>
    <w:rsid w:val="00260D61"/>
    <w:rsid w:val="0026143D"/>
    <w:rsid w:val="002657C1"/>
    <w:rsid w:val="00270A1A"/>
    <w:rsid w:val="00272677"/>
    <w:rsid w:val="00272D20"/>
    <w:rsid w:val="002735F0"/>
    <w:rsid w:val="00275235"/>
    <w:rsid w:val="00275767"/>
    <w:rsid w:val="002757FA"/>
    <w:rsid w:val="00275D70"/>
    <w:rsid w:val="00275DBF"/>
    <w:rsid w:val="00275F6F"/>
    <w:rsid w:val="002765D7"/>
    <w:rsid w:val="00276913"/>
    <w:rsid w:val="00280869"/>
    <w:rsid w:val="002830C6"/>
    <w:rsid w:val="0028323E"/>
    <w:rsid w:val="00284661"/>
    <w:rsid w:val="00284B9C"/>
    <w:rsid w:val="00284D9C"/>
    <w:rsid w:val="00284FBB"/>
    <w:rsid w:val="00287355"/>
    <w:rsid w:val="00290E43"/>
    <w:rsid w:val="00291E48"/>
    <w:rsid w:val="00292378"/>
    <w:rsid w:val="0029385F"/>
    <w:rsid w:val="00294CAD"/>
    <w:rsid w:val="002964D9"/>
    <w:rsid w:val="002A0AA3"/>
    <w:rsid w:val="002A0E6F"/>
    <w:rsid w:val="002A24E0"/>
    <w:rsid w:val="002A7AC0"/>
    <w:rsid w:val="002A7CAE"/>
    <w:rsid w:val="002B084F"/>
    <w:rsid w:val="002B1EC9"/>
    <w:rsid w:val="002B5671"/>
    <w:rsid w:val="002C1AD8"/>
    <w:rsid w:val="002C1D9A"/>
    <w:rsid w:val="002C2333"/>
    <w:rsid w:val="002C28C1"/>
    <w:rsid w:val="002C3F77"/>
    <w:rsid w:val="002C741D"/>
    <w:rsid w:val="002D097B"/>
    <w:rsid w:val="002D2152"/>
    <w:rsid w:val="002D28DC"/>
    <w:rsid w:val="002D361A"/>
    <w:rsid w:val="002D73C7"/>
    <w:rsid w:val="002E26CA"/>
    <w:rsid w:val="002E2CED"/>
    <w:rsid w:val="002E4140"/>
    <w:rsid w:val="002E46CB"/>
    <w:rsid w:val="002E4BED"/>
    <w:rsid w:val="002E57F0"/>
    <w:rsid w:val="002F0AC0"/>
    <w:rsid w:val="002F1DC2"/>
    <w:rsid w:val="002F3072"/>
    <w:rsid w:val="002F4D02"/>
    <w:rsid w:val="002F4EAF"/>
    <w:rsid w:val="002F5F49"/>
    <w:rsid w:val="002F63CE"/>
    <w:rsid w:val="002F75A4"/>
    <w:rsid w:val="00300713"/>
    <w:rsid w:val="00300BF3"/>
    <w:rsid w:val="00300DF0"/>
    <w:rsid w:val="003045F4"/>
    <w:rsid w:val="00304C78"/>
    <w:rsid w:val="003052AD"/>
    <w:rsid w:val="003055FF"/>
    <w:rsid w:val="003067E3"/>
    <w:rsid w:val="00306A16"/>
    <w:rsid w:val="0031402B"/>
    <w:rsid w:val="00316F31"/>
    <w:rsid w:val="00320E20"/>
    <w:rsid w:val="00322899"/>
    <w:rsid w:val="00322B05"/>
    <w:rsid w:val="003233A7"/>
    <w:rsid w:val="00324657"/>
    <w:rsid w:val="003259C5"/>
    <w:rsid w:val="0032619D"/>
    <w:rsid w:val="0032625E"/>
    <w:rsid w:val="00327E03"/>
    <w:rsid w:val="003302E1"/>
    <w:rsid w:val="00332321"/>
    <w:rsid w:val="00332B4F"/>
    <w:rsid w:val="003333F8"/>
    <w:rsid w:val="00333E98"/>
    <w:rsid w:val="00334CF4"/>
    <w:rsid w:val="003366AF"/>
    <w:rsid w:val="00337F61"/>
    <w:rsid w:val="0034456C"/>
    <w:rsid w:val="00345C51"/>
    <w:rsid w:val="003500B8"/>
    <w:rsid w:val="00350B93"/>
    <w:rsid w:val="00350DFA"/>
    <w:rsid w:val="003553C8"/>
    <w:rsid w:val="00355EBB"/>
    <w:rsid w:val="00357D92"/>
    <w:rsid w:val="00360F4C"/>
    <w:rsid w:val="0036182A"/>
    <w:rsid w:val="00363A66"/>
    <w:rsid w:val="00363B88"/>
    <w:rsid w:val="00364109"/>
    <w:rsid w:val="00364C7A"/>
    <w:rsid w:val="00364EC2"/>
    <w:rsid w:val="003652F5"/>
    <w:rsid w:val="00366210"/>
    <w:rsid w:val="00367BB7"/>
    <w:rsid w:val="003709EC"/>
    <w:rsid w:val="00370C5C"/>
    <w:rsid w:val="00370C6E"/>
    <w:rsid w:val="00374C98"/>
    <w:rsid w:val="00375BC6"/>
    <w:rsid w:val="00377920"/>
    <w:rsid w:val="003802F1"/>
    <w:rsid w:val="00383E3A"/>
    <w:rsid w:val="00386210"/>
    <w:rsid w:val="003868D3"/>
    <w:rsid w:val="00387A18"/>
    <w:rsid w:val="003914C2"/>
    <w:rsid w:val="003924D5"/>
    <w:rsid w:val="00393B20"/>
    <w:rsid w:val="00393EF1"/>
    <w:rsid w:val="003949A3"/>
    <w:rsid w:val="00394B71"/>
    <w:rsid w:val="0039505A"/>
    <w:rsid w:val="00396BC9"/>
    <w:rsid w:val="0039730A"/>
    <w:rsid w:val="003979A9"/>
    <w:rsid w:val="003A0680"/>
    <w:rsid w:val="003A0DBB"/>
    <w:rsid w:val="003A1B32"/>
    <w:rsid w:val="003A1B59"/>
    <w:rsid w:val="003A500E"/>
    <w:rsid w:val="003A5263"/>
    <w:rsid w:val="003A532F"/>
    <w:rsid w:val="003A53FE"/>
    <w:rsid w:val="003A5771"/>
    <w:rsid w:val="003A75B2"/>
    <w:rsid w:val="003A783A"/>
    <w:rsid w:val="003A7B41"/>
    <w:rsid w:val="003B02D3"/>
    <w:rsid w:val="003B4D7C"/>
    <w:rsid w:val="003B7902"/>
    <w:rsid w:val="003B7E0A"/>
    <w:rsid w:val="003C0042"/>
    <w:rsid w:val="003C0D10"/>
    <w:rsid w:val="003C2837"/>
    <w:rsid w:val="003C3285"/>
    <w:rsid w:val="003C3CB1"/>
    <w:rsid w:val="003C3D35"/>
    <w:rsid w:val="003C4633"/>
    <w:rsid w:val="003C49CC"/>
    <w:rsid w:val="003D0369"/>
    <w:rsid w:val="003D1FBF"/>
    <w:rsid w:val="003D1FFB"/>
    <w:rsid w:val="003D2588"/>
    <w:rsid w:val="003D2BFA"/>
    <w:rsid w:val="003D339A"/>
    <w:rsid w:val="003D4445"/>
    <w:rsid w:val="003D5A60"/>
    <w:rsid w:val="003D6456"/>
    <w:rsid w:val="003D7C71"/>
    <w:rsid w:val="003D7E18"/>
    <w:rsid w:val="003E0F34"/>
    <w:rsid w:val="003E12A6"/>
    <w:rsid w:val="003E3323"/>
    <w:rsid w:val="003E3DD5"/>
    <w:rsid w:val="003E65C0"/>
    <w:rsid w:val="003E6C72"/>
    <w:rsid w:val="003E6E26"/>
    <w:rsid w:val="003E7BCD"/>
    <w:rsid w:val="003F0993"/>
    <w:rsid w:val="003F0D63"/>
    <w:rsid w:val="003F0FD6"/>
    <w:rsid w:val="003F1505"/>
    <w:rsid w:val="003F2538"/>
    <w:rsid w:val="003F25D0"/>
    <w:rsid w:val="003F389B"/>
    <w:rsid w:val="003F54D0"/>
    <w:rsid w:val="003F6280"/>
    <w:rsid w:val="003F66DA"/>
    <w:rsid w:val="003F6C1E"/>
    <w:rsid w:val="003F700A"/>
    <w:rsid w:val="004009AD"/>
    <w:rsid w:val="00401FD6"/>
    <w:rsid w:val="00402276"/>
    <w:rsid w:val="00402343"/>
    <w:rsid w:val="00402FD0"/>
    <w:rsid w:val="00406CEF"/>
    <w:rsid w:val="00410437"/>
    <w:rsid w:val="00410E85"/>
    <w:rsid w:val="00413124"/>
    <w:rsid w:val="00414CEC"/>
    <w:rsid w:val="0041510B"/>
    <w:rsid w:val="004162D0"/>
    <w:rsid w:val="00420926"/>
    <w:rsid w:val="00423342"/>
    <w:rsid w:val="00423B03"/>
    <w:rsid w:val="0042439F"/>
    <w:rsid w:val="004246AA"/>
    <w:rsid w:val="00425DEF"/>
    <w:rsid w:val="004264AF"/>
    <w:rsid w:val="00427C08"/>
    <w:rsid w:val="00430394"/>
    <w:rsid w:val="00431173"/>
    <w:rsid w:val="004322CC"/>
    <w:rsid w:val="00433F80"/>
    <w:rsid w:val="004359BF"/>
    <w:rsid w:val="00436508"/>
    <w:rsid w:val="00437220"/>
    <w:rsid w:val="00443448"/>
    <w:rsid w:val="00443D62"/>
    <w:rsid w:val="004441B5"/>
    <w:rsid w:val="00444918"/>
    <w:rsid w:val="004449F0"/>
    <w:rsid w:val="00446B66"/>
    <w:rsid w:val="00446E4F"/>
    <w:rsid w:val="00446F20"/>
    <w:rsid w:val="004470D6"/>
    <w:rsid w:val="004474F3"/>
    <w:rsid w:val="00447BC5"/>
    <w:rsid w:val="00447C17"/>
    <w:rsid w:val="00447D5A"/>
    <w:rsid w:val="00451287"/>
    <w:rsid w:val="00452C2C"/>
    <w:rsid w:val="00454FF9"/>
    <w:rsid w:val="00456F5D"/>
    <w:rsid w:val="00457032"/>
    <w:rsid w:val="00457B40"/>
    <w:rsid w:val="0046058E"/>
    <w:rsid w:val="00460EED"/>
    <w:rsid w:val="004617E3"/>
    <w:rsid w:val="00465467"/>
    <w:rsid w:val="00472DEA"/>
    <w:rsid w:val="00473053"/>
    <w:rsid w:val="004730A9"/>
    <w:rsid w:val="004731A1"/>
    <w:rsid w:val="00473C54"/>
    <w:rsid w:val="00476B44"/>
    <w:rsid w:val="00480CA9"/>
    <w:rsid w:val="004827C3"/>
    <w:rsid w:val="0048521A"/>
    <w:rsid w:val="0048672E"/>
    <w:rsid w:val="00487C91"/>
    <w:rsid w:val="00490F63"/>
    <w:rsid w:val="004932CF"/>
    <w:rsid w:val="00495126"/>
    <w:rsid w:val="00496C1C"/>
    <w:rsid w:val="004A0EBC"/>
    <w:rsid w:val="004A1233"/>
    <w:rsid w:val="004A2682"/>
    <w:rsid w:val="004A2F02"/>
    <w:rsid w:val="004A3E79"/>
    <w:rsid w:val="004A4214"/>
    <w:rsid w:val="004A4E4D"/>
    <w:rsid w:val="004A55B5"/>
    <w:rsid w:val="004A7F34"/>
    <w:rsid w:val="004B0D8C"/>
    <w:rsid w:val="004B1A9D"/>
    <w:rsid w:val="004B222E"/>
    <w:rsid w:val="004B3664"/>
    <w:rsid w:val="004B3764"/>
    <w:rsid w:val="004B5D3E"/>
    <w:rsid w:val="004B7402"/>
    <w:rsid w:val="004B77F6"/>
    <w:rsid w:val="004B7A04"/>
    <w:rsid w:val="004C0CA9"/>
    <w:rsid w:val="004C1789"/>
    <w:rsid w:val="004C2D7B"/>
    <w:rsid w:val="004C2EC9"/>
    <w:rsid w:val="004C3EF2"/>
    <w:rsid w:val="004C4EF8"/>
    <w:rsid w:val="004C5F8D"/>
    <w:rsid w:val="004C6392"/>
    <w:rsid w:val="004C6744"/>
    <w:rsid w:val="004C7DA5"/>
    <w:rsid w:val="004D12D7"/>
    <w:rsid w:val="004D26DF"/>
    <w:rsid w:val="004D389A"/>
    <w:rsid w:val="004D3B4E"/>
    <w:rsid w:val="004D427B"/>
    <w:rsid w:val="004D57AA"/>
    <w:rsid w:val="004D7989"/>
    <w:rsid w:val="004E027A"/>
    <w:rsid w:val="004E1036"/>
    <w:rsid w:val="004E1061"/>
    <w:rsid w:val="004E21AF"/>
    <w:rsid w:val="004E2C08"/>
    <w:rsid w:val="004E337A"/>
    <w:rsid w:val="004E4051"/>
    <w:rsid w:val="004E441A"/>
    <w:rsid w:val="004E5E67"/>
    <w:rsid w:val="004E662E"/>
    <w:rsid w:val="004E78B7"/>
    <w:rsid w:val="004F147D"/>
    <w:rsid w:val="004F1965"/>
    <w:rsid w:val="004F1B5F"/>
    <w:rsid w:val="004F21D1"/>
    <w:rsid w:val="004F3106"/>
    <w:rsid w:val="004F32E4"/>
    <w:rsid w:val="004F3407"/>
    <w:rsid w:val="004F3818"/>
    <w:rsid w:val="004F4277"/>
    <w:rsid w:val="004F47F9"/>
    <w:rsid w:val="004F7F8E"/>
    <w:rsid w:val="00501AC6"/>
    <w:rsid w:val="00502F44"/>
    <w:rsid w:val="0050345F"/>
    <w:rsid w:val="0050449D"/>
    <w:rsid w:val="00506544"/>
    <w:rsid w:val="0050679B"/>
    <w:rsid w:val="00510378"/>
    <w:rsid w:val="00511E9B"/>
    <w:rsid w:val="005129A3"/>
    <w:rsid w:val="00514D27"/>
    <w:rsid w:val="005150D4"/>
    <w:rsid w:val="005155CD"/>
    <w:rsid w:val="00516D42"/>
    <w:rsid w:val="005179F1"/>
    <w:rsid w:val="00520C58"/>
    <w:rsid w:val="00520EC4"/>
    <w:rsid w:val="00520EDB"/>
    <w:rsid w:val="005266AC"/>
    <w:rsid w:val="00526898"/>
    <w:rsid w:val="00527C9D"/>
    <w:rsid w:val="00530FC1"/>
    <w:rsid w:val="00531EC3"/>
    <w:rsid w:val="00533078"/>
    <w:rsid w:val="00533D33"/>
    <w:rsid w:val="005350D7"/>
    <w:rsid w:val="0053655F"/>
    <w:rsid w:val="0053661C"/>
    <w:rsid w:val="00536CE7"/>
    <w:rsid w:val="0054008A"/>
    <w:rsid w:val="00541CAD"/>
    <w:rsid w:val="005429BF"/>
    <w:rsid w:val="00543B27"/>
    <w:rsid w:val="00544A4A"/>
    <w:rsid w:val="00545710"/>
    <w:rsid w:val="0054590B"/>
    <w:rsid w:val="00546A6D"/>
    <w:rsid w:val="00550C42"/>
    <w:rsid w:val="0055220E"/>
    <w:rsid w:val="00552ADE"/>
    <w:rsid w:val="00554C57"/>
    <w:rsid w:val="005558C7"/>
    <w:rsid w:val="00557131"/>
    <w:rsid w:val="0055716F"/>
    <w:rsid w:val="00557E66"/>
    <w:rsid w:val="005611C0"/>
    <w:rsid w:val="00562C63"/>
    <w:rsid w:val="0056698E"/>
    <w:rsid w:val="00566ABE"/>
    <w:rsid w:val="00567006"/>
    <w:rsid w:val="00567C26"/>
    <w:rsid w:val="00570E6A"/>
    <w:rsid w:val="005731FF"/>
    <w:rsid w:val="00573304"/>
    <w:rsid w:val="0057338D"/>
    <w:rsid w:val="00573A74"/>
    <w:rsid w:val="005742F0"/>
    <w:rsid w:val="005747B8"/>
    <w:rsid w:val="005759C8"/>
    <w:rsid w:val="0057609A"/>
    <w:rsid w:val="0057791D"/>
    <w:rsid w:val="00580715"/>
    <w:rsid w:val="0058130F"/>
    <w:rsid w:val="0058286F"/>
    <w:rsid w:val="00582BD6"/>
    <w:rsid w:val="00582FC8"/>
    <w:rsid w:val="00583732"/>
    <w:rsid w:val="00583753"/>
    <w:rsid w:val="005850B0"/>
    <w:rsid w:val="005868DF"/>
    <w:rsid w:val="005872C9"/>
    <w:rsid w:val="00587F51"/>
    <w:rsid w:val="0059006B"/>
    <w:rsid w:val="005907AF"/>
    <w:rsid w:val="00591F50"/>
    <w:rsid w:val="00592430"/>
    <w:rsid w:val="0059366B"/>
    <w:rsid w:val="0059451C"/>
    <w:rsid w:val="00596029"/>
    <w:rsid w:val="005A1B58"/>
    <w:rsid w:val="005A2248"/>
    <w:rsid w:val="005A4917"/>
    <w:rsid w:val="005A4AE9"/>
    <w:rsid w:val="005A5EAC"/>
    <w:rsid w:val="005A702E"/>
    <w:rsid w:val="005B1168"/>
    <w:rsid w:val="005B2E2E"/>
    <w:rsid w:val="005B36F2"/>
    <w:rsid w:val="005B3A75"/>
    <w:rsid w:val="005B4421"/>
    <w:rsid w:val="005B606E"/>
    <w:rsid w:val="005B60B1"/>
    <w:rsid w:val="005B62FA"/>
    <w:rsid w:val="005B65F9"/>
    <w:rsid w:val="005B7C6E"/>
    <w:rsid w:val="005C0083"/>
    <w:rsid w:val="005C0706"/>
    <w:rsid w:val="005C3876"/>
    <w:rsid w:val="005C4DD2"/>
    <w:rsid w:val="005C570C"/>
    <w:rsid w:val="005C5A74"/>
    <w:rsid w:val="005C5B90"/>
    <w:rsid w:val="005C6085"/>
    <w:rsid w:val="005C67D4"/>
    <w:rsid w:val="005C6E23"/>
    <w:rsid w:val="005C71B6"/>
    <w:rsid w:val="005C7EDA"/>
    <w:rsid w:val="005D0D9E"/>
    <w:rsid w:val="005D0EC3"/>
    <w:rsid w:val="005D1022"/>
    <w:rsid w:val="005D1C53"/>
    <w:rsid w:val="005D20EC"/>
    <w:rsid w:val="005D2A43"/>
    <w:rsid w:val="005D2AEE"/>
    <w:rsid w:val="005D2C22"/>
    <w:rsid w:val="005D351D"/>
    <w:rsid w:val="005D365C"/>
    <w:rsid w:val="005D4610"/>
    <w:rsid w:val="005D4F28"/>
    <w:rsid w:val="005D645A"/>
    <w:rsid w:val="005D670E"/>
    <w:rsid w:val="005D6825"/>
    <w:rsid w:val="005D70FB"/>
    <w:rsid w:val="005E1D55"/>
    <w:rsid w:val="005E2D2B"/>
    <w:rsid w:val="005E2E17"/>
    <w:rsid w:val="005E34DE"/>
    <w:rsid w:val="005E4097"/>
    <w:rsid w:val="005E45C7"/>
    <w:rsid w:val="005E4EA5"/>
    <w:rsid w:val="005E4EB8"/>
    <w:rsid w:val="005E5A6B"/>
    <w:rsid w:val="005E6932"/>
    <w:rsid w:val="005E6CF1"/>
    <w:rsid w:val="005F144B"/>
    <w:rsid w:val="005F2778"/>
    <w:rsid w:val="005F2989"/>
    <w:rsid w:val="005F7BB1"/>
    <w:rsid w:val="00600882"/>
    <w:rsid w:val="00601FFE"/>
    <w:rsid w:val="006028DA"/>
    <w:rsid w:val="0060335B"/>
    <w:rsid w:val="00603D3F"/>
    <w:rsid w:val="00604BCC"/>
    <w:rsid w:val="00604DF0"/>
    <w:rsid w:val="00605A1F"/>
    <w:rsid w:val="006072FF"/>
    <w:rsid w:val="00610E55"/>
    <w:rsid w:val="00611129"/>
    <w:rsid w:val="00611D4D"/>
    <w:rsid w:val="0061355C"/>
    <w:rsid w:val="006156BF"/>
    <w:rsid w:val="00620D04"/>
    <w:rsid w:val="00621072"/>
    <w:rsid w:val="00622146"/>
    <w:rsid w:val="00623974"/>
    <w:rsid w:val="006242EA"/>
    <w:rsid w:val="00624812"/>
    <w:rsid w:val="0062641E"/>
    <w:rsid w:val="00626C61"/>
    <w:rsid w:val="00630866"/>
    <w:rsid w:val="006314CA"/>
    <w:rsid w:val="006319B1"/>
    <w:rsid w:val="00631AD6"/>
    <w:rsid w:val="0063579D"/>
    <w:rsid w:val="00635A10"/>
    <w:rsid w:val="0063662E"/>
    <w:rsid w:val="006369C8"/>
    <w:rsid w:val="00640201"/>
    <w:rsid w:val="0064035E"/>
    <w:rsid w:val="00640DAD"/>
    <w:rsid w:val="006410FE"/>
    <w:rsid w:val="00642E49"/>
    <w:rsid w:val="006440D0"/>
    <w:rsid w:val="00644BD3"/>
    <w:rsid w:val="00644FCD"/>
    <w:rsid w:val="006454F9"/>
    <w:rsid w:val="00646FFE"/>
    <w:rsid w:val="00647516"/>
    <w:rsid w:val="006508F7"/>
    <w:rsid w:val="00650FCE"/>
    <w:rsid w:val="00651015"/>
    <w:rsid w:val="006515E0"/>
    <w:rsid w:val="00651FC5"/>
    <w:rsid w:val="00652607"/>
    <w:rsid w:val="00652E05"/>
    <w:rsid w:val="006530ED"/>
    <w:rsid w:val="00653177"/>
    <w:rsid w:val="00653D8E"/>
    <w:rsid w:val="00654C3B"/>
    <w:rsid w:val="00656B38"/>
    <w:rsid w:val="00660ED1"/>
    <w:rsid w:val="00661EAA"/>
    <w:rsid w:val="00662A84"/>
    <w:rsid w:val="00663A89"/>
    <w:rsid w:val="00664D50"/>
    <w:rsid w:val="0066718C"/>
    <w:rsid w:val="006676FB"/>
    <w:rsid w:val="00670037"/>
    <w:rsid w:val="00670CF1"/>
    <w:rsid w:val="00670F5A"/>
    <w:rsid w:val="0067106F"/>
    <w:rsid w:val="00671C34"/>
    <w:rsid w:val="00673F12"/>
    <w:rsid w:val="0067475A"/>
    <w:rsid w:val="006774AA"/>
    <w:rsid w:val="00677740"/>
    <w:rsid w:val="006812D4"/>
    <w:rsid w:val="00682A3B"/>
    <w:rsid w:val="00683DD8"/>
    <w:rsid w:val="00684051"/>
    <w:rsid w:val="006843E7"/>
    <w:rsid w:val="0068646A"/>
    <w:rsid w:val="00686DA0"/>
    <w:rsid w:val="006910DB"/>
    <w:rsid w:val="00691D6E"/>
    <w:rsid w:val="006921C4"/>
    <w:rsid w:val="00693B27"/>
    <w:rsid w:val="006941B3"/>
    <w:rsid w:val="006952D8"/>
    <w:rsid w:val="00695D93"/>
    <w:rsid w:val="00696F97"/>
    <w:rsid w:val="0069764E"/>
    <w:rsid w:val="00697F0A"/>
    <w:rsid w:val="006A04E2"/>
    <w:rsid w:val="006A3A1F"/>
    <w:rsid w:val="006A3B5E"/>
    <w:rsid w:val="006A4235"/>
    <w:rsid w:val="006B0380"/>
    <w:rsid w:val="006B1638"/>
    <w:rsid w:val="006B2380"/>
    <w:rsid w:val="006B35CB"/>
    <w:rsid w:val="006B3CE6"/>
    <w:rsid w:val="006B3E34"/>
    <w:rsid w:val="006B4368"/>
    <w:rsid w:val="006B52E2"/>
    <w:rsid w:val="006B56D2"/>
    <w:rsid w:val="006B6199"/>
    <w:rsid w:val="006B6AD5"/>
    <w:rsid w:val="006C06B2"/>
    <w:rsid w:val="006C06C2"/>
    <w:rsid w:val="006C21EE"/>
    <w:rsid w:val="006C499F"/>
    <w:rsid w:val="006C5595"/>
    <w:rsid w:val="006C6599"/>
    <w:rsid w:val="006C6A7A"/>
    <w:rsid w:val="006C6CD8"/>
    <w:rsid w:val="006D102F"/>
    <w:rsid w:val="006D16C7"/>
    <w:rsid w:val="006D2257"/>
    <w:rsid w:val="006D30D2"/>
    <w:rsid w:val="006D367C"/>
    <w:rsid w:val="006D36A5"/>
    <w:rsid w:val="006D3EC2"/>
    <w:rsid w:val="006D5006"/>
    <w:rsid w:val="006D5401"/>
    <w:rsid w:val="006D643E"/>
    <w:rsid w:val="006D711A"/>
    <w:rsid w:val="006E0BD0"/>
    <w:rsid w:val="006E12C5"/>
    <w:rsid w:val="006E154C"/>
    <w:rsid w:val="006E15C9"/>
    <w:rsid w:val="006E1BB6"/>
    <w:rsid w:val="006E2006"/>
    <w:rsid w:val="006E2D4C"/>
    <w:rsid w:val="006E53BE"/>
    <w:rsid w:val="006E6BF8"/>
    <w:rsid w:val="006E6CEA"/>
    <w:rsid w:val="006E6DA5"/>
    <w:rsid w:val="006E7EA2"/>
    <w:rsid w:val="006F04AC"/>
    <w:rsid w:val="006F2357"/>
    <w:rsid w:val="006F435C"/>
    <w:rsid w:val="006F4FDF"/>
    <w:rsid w:val="006F5645"/>
    <w:rsid w:val="006F69A4"/>
    <w:rsid w:val="00703D3C"/>
    <w:rsid w:val="00705817"/>
    <w:rsid w:val="00705EE3"/>
    <w:rsid w:val="0071023F"/>
    <w:rsid w:val="00710EF5"/>
    <w:rsid w:val="007122F5"/>
    <w:rsid w:val="007127F7"/>
    <w:rsid w:val="00712A43"/>
    <w:rsid w:val="00717ABA"/>
    <w:rsid w:val="00720558"/>
    <w:rsid w:val="00720964"/>
    <w:rsid w:val="00721F2C"/>
    <w:rsid w:val="007236CC"/>
    <w:rsid w:val="0072585E"/>
    <w:rsid w:val="0072669F"/>
    <w:rsid w:val="00727148"/>
    <w:rsid w:val="00727349"/>
    <w:rsid w:val="007277D6"/>
    <w:rsid w:val="00727F3E"/>
    <w:rsid w:val="0073036F"/>
    <w:rsid w:val="007308D7"/>
    <w:rsid w:val="007317E6"/>
    <w:rsid w:val="00731CDF"/>
    <w:rsid w:val="00732B0F"/>
    <w:rsid w:val="00734DAC"/>
    <w:rsid w:val="00735355"/>
    <w:rsid w:val="00735F8D"/>
    <w:rsid w:val="007364B8"/>
    <w:rsid w:val="00737230"/>
    <w:rsid w:val="0073791F"/>
    <w:rsid w:val="00741A62"/>
    <w:rsid w:val="0074229C"/>
    <w:rsid w:val="007425ED"/>
    <w:rsid w:val="0074395B"/>
    <w:rsid w:val="007462DD"/>
    <w:rsid w:val="007464ED"/>
    <w:rsid w:val="007468B9"/>
    <w:rsid w:val="0074692D"/>
    <w:rsid w:val="00747F72"/>
    <w:rsid w:val="0075034A"/>
    <w:rsid w:val="00751561"/>
    <w:rsid w:val="0075228C"/>
    <w:rsid w:val="0075232E"/>
    <w:rsid w:val="00754E14"/>
    <w:rsid w:val="00754E76"/>
    <w:rsid w:val="007563F5"/>
    <w:rsid w:val="00756B81"/>
    <w:rsid w:val="00757566"/>
    <w:rsid w:val="00757B9E"/>
    <w:rsid w:val="007626FF"/>
    <w:rsid w:val="007660F8"/>
    <w:rsid w:val="007721EE"/>
    <w:rsid w:val="007723EB"/>
    <w:rsid w:val="00772DCA"/>
    <w:rsid w:val="00776B91"/>
    <w:rsid w:val="00776DF0"/>
    <w:rsid w:val="0077791B"/>
    <w:rsid w:val="00777A0C"/>
    <w:rsid w:val="0078183A"/>
    <w:rsid w:val="00781876"/>
    <w:rsid w:val="00783331"/>
    <w:rsid w:val="0078441D"/>
    <w:rsid w:val="007844CB"/>
    <w:rsid w:val="007848A2"/>
    <w:rsid w:val="00785003"/>
    <w:rsid w:val="00785C5E"/>
    <w:rsid w:val="00790EA6"/>
    <w:rsid w:val="00791323"/>
    <w:rsid w:val="00792364"/>
    <w:rsid w:val="00792910"/>
    <w:rsid w:val="007949EE"/>
    <w:rsid w:val="00795554"/>
    <w:rsid w:val="007962C7"/>
    <w:rsid w:val="007966BE"/>
    <w:rsid w:val="00796813"/>
    <w:rsid w:val="0079793F"/>
    <w:rsid w:val="007979AC"/>
    <w:rsid w:val="007A16D1"/>
    <w:rsid w:val="007A1B89"/>
    <w:rsid w:val="007A1D75"/>
    <w:rsid w:val="007A2223"/>
    <w:rsid w:val="007A28AF"/>
    <w:rsid w:val="007A2F66"/>
    <w:rsid w:val="007A32B3"/>
    <w:rsid w:val="007A4562"/>
    <w:rsid w:val="007A49C0"/>
    <w:rsid w:val="007A5276"/>
    <w:rsid w:val="007A6F35"/>
    <w:rsid w:val="007A770B"/>
    <w:rsid w:val="007B1774"/>
    <w:rsid w:val="007B21B1"/>
    <w:rsid w:val="007B22ED"/>
    <w:rsid w:val="007B4C77"/>
    <w:rsid w:val="007B6656"/>
    <w:rsid w:val="007B7BE4"/>
    <w:rsid w:val="007B7D0F"/>
    <w:rsid w:val="007C0C2C"/>
    <w:rsid w:val="007C172D"/>
    <w:rsid w:val="007C2BB6"/>
    <w:rsid w:val="007C2D14"/>
    <w:rsid w:val="007C772E"/>
    <w:rsid w:val="007C7C77"/>
    <w:rsid w:val="007D015C"/>
    <w:rsid w:val="007D082D"/>
    <w:rsid w:val="007D0A95"/>
    <w:rsid w:val="007D15AC"/>
    <w:rsid w:val="007D25AD"/>
    <w:rsid w:val="007D3226"/>
    <w:rsid w:val="007D4C32"/>
    <w:rsid w:val="007D6B6F"/>
    <w:rsid w:val="007D6C9E"/>
    <w:rsid w:val="007E01D7"/>
    <w:rsid w:val="007E04C3"/>
    <w:rsid w:val="007E0599"/>
    <w:rsid w:val="007E0C09"/>
    <w:rsid w:val="007E136C"/>
    <w:rsid w:val="007E48FB"/>
    <w:rsid w:val="007E4BA6"/>
    <w:rsid w:val="007E519D"/>
    <w:rsid w:val="007E54D6"/>
    <w:rsid w:val="007E72C3"/>
    <w:rsid w:val="007F0708"/>
    <w:rsid w:val="007F17BF"/>
    <w:rsid w:val="007F2712"/>
    <w:rsid w:val="007F2BA4"/>
    <w:rsid w:val="007F2C94"/>
    <w:rsid w:val="007F3138"/>
    <w:rsid w:val="007F3E1F"/>
    <w:rsid w:val="007F4FD8"/>
    <w:rsid w:val="007F5F51"/>
    <w:rsid w:val="007F61F4"/>
    <w:rsid w:val="007F68D7"/>
    <w:rsid w:val="007F6952"/>
    <w:rsid w:val="007F795B"/>
    <w:rsid w:val="007F79EA"/>
    <w:rsid w:val="007F7CAC"/>
    <w:rsid w:val="008010EB"/>
    <w:rsid w:val="00801F6F"/>
    <w:rsid w:val="00805678"/>
    <w:rsid w:val="00805F68"/>
    <w:rsid w:val="008062C4"/>
    <w:rsid w:val="008062E8"/>
    <w:rsid w:val="00806A45"/>
    <w:rsid w:val="008073DA"/>
    <w:rsid w:val="0081296C"/>
    <w:rsid w:val="00813010"/>
    <w:rsid w:val="0081528D"/>
    <w:rsid w:val="008205DD"/>
    <w:rsid w:val="00822151"/>
    <w:rsid w:val="00823228"/>
    <w:rsid w:val="00825239"/>
    <w:rsid w:val="008253E8"/>
    <w:rsid w:val="00825C87"/>
    <w:rsid w:val="0082660A"/>
    <w:rsid w:val="00827861"/>
    <w:rsid w:val="008325E1"/>
    <w:rsid w:val="00832BE5"/>
    <w:rsid w:val="008370F4"/>
    <w:rsid w:val="0084023C"/>
    <w:rsid w:val="00840F11"/>
    <w:rsid w:val="00842C83"/>
    <w:rsid w:val="00844311"/>
    <w:rsid w:val="00844E48"/>
    <w:rsid w:val="008459C3"/>
    <w:rsid w:val="00845F07"/>
    <w:rsid w:val="00846267"/>
    <w:rsid w:val="00846555"/>
    <w:rsid w:val="008470A3"/>
    <w:rsid w:val="00847485"/>
    <w:rsid w:val="008502A9"/>
    <w:rsid w:val="00850B88"/>
    <w:rsid w:val="008517C4"/>
    <w:rsid w:val="00851B79"/>
    <w:rsid w:val="00852EE5"/>
    <w:rsid w:val="0085342B"/>
    <w:rsid w:val="00854809"/>
    <w:rsid w:val="00854AF8"/>
    <w:rsid w:val="00855A17"/>
    <w:rsid w:val="00855BA0"/>
    <w:rsid w:val="00855EBE"/>
    <w:rsid w:val="008560C2"/>
    <w:rsid w:val="008613C2"/>
    <w:rsid w:val="0086146F"/>
    <w:rsid w:val="0086357F"/>
    <w:rsid w:val="00863CC6"/>
    <w:rsid w:val="00864CC1"/>
    <w:rsid w:val="00865AC4"/>
    <w:rsid w:val="00865D2F"/>
    <w:rsid w:val="00866C8A"/>
    <w:rsid w:val="00872404"/>
    <w:rsid w:val="00872623"/>
    <w:rsid w:val="0087286E"/>
    <w:rsid w:val="00875A7D"/>
    <w:rsid w:val="008762D5"/>
    <w:rsid w:val="00876AA2"/>
    <w:rsid w:val="008777BF"/>
    <w:rsid w:val="0088052A"/>
    <w:rsid w:val="00880953"/>
    <w:rsid w:val="00882419"/>
    <w:rsid w:val="0088370D"/>
    <w:rsid w:val="0088387A"/>
    <w:rsid w:val="008846B2"/>
    <w:rsid w:val="00884A96"/>
    <w:rsid w:val="00884D64"/>
    <w:rsid w:val="00885CD1"/>
    <w:rsid w:val="00887A59"/>
    <w:rsid w:val="00890DB1"/>
    <w:rsid w:val="008926E1"/>
    <w:rsid w:val="008938AA"/>
    <w:rsid w:val="008941C9"/>
    <w:rsid w:val="00895B2E"/>
    <w:rsid w:val="00896E50"/>
    <w:rsid w:val="008972DC"/>
    <w:rsid w:val="008978D2"/>
    <w:rsid w:val="008A14EA"/>
    <w:rsid w:val="008A1CCE"/>
    <w:rsid w:val="008A2BDE"/>
    <w:rsid w:val="008A34AF"/>
    <w:rsid w:val="008A37E5"/>
    <w:rsid w:val="008A510F"/>
    <w:rsid w:val="008A6FE4"/>
    <w:rsid w:val="008A7F6E"/>
    <w:rsid w:val="008B4413"/>
    <w:rsid w:val="008B4C90"/>
    <w:rsid w:val="008B6B5F"/>
    <w:rsid w:val="008C124A"/>
    <w:rsid w:val="008C147F"/>
    <w:rsid w:val="008C158C"/>
    <w:rsid w:val="008C1FF6"/>
    <w:rsid w:val="008C2BB1"/>
    <w:rsid w:val="008C36BF"/>
    <w:rsid w:val="008C40BB"/>
    <w:rsid w:val="008D36BF"/>
    <w:rsid w:val="008D3D7F"/>
    <w:rsid w:val="008D3EC6"/>
    <w:rsid w:val="008D3EE9"/>
    <w:rsid w:val="008D4610"/>
    <w:rsid w:val="008D5E04"/>
    <w:rsid w:val="008D60DC"/>
    <w:rsid w:val="008D707D"/>
    <w:rsid w:val="008D74A6"/>
    <w:rsid w:val="008D75BC"/>
    <w:rsid w:val="008D75C5"/>
    <w:rsid w:val="008E4FDC"/>
    <w:rsid w:val="008E6F5B"/>
    <w:rsid w:val="008E77E0"/>
    <w:rsid w:val="008F0AEC"/>
    <w:rsid w:val="008F0D11"/>
    <w:rsid w:val="008F14B9"/>
    <w:rsid w:val="008F5BEA"/>
    <w:rsid w:val="008F6064"/>
    <w:rsid w:val="00901296"/>
    <w:rsid w:val="00901856"/>
    <w:rsid w:val="009031F4"/>
    <w:rsid w:val="00903C8B"/>
    <w:rsid w:val="009046A2"/>
    <w:rsid w:val="0090638C"/>
    <w:rsid w:val="0091054D"/>
    <w:rsid w:val="009110E7"/>
    <w:rsid w:val="0091143B"/>
    <w:rsid w:val="009134AF"/>
    <w:rsid w:val="009137B6"/>
    <w:rsid w:val="0091502A"/>
    <w:rsid w:val="009174B4"/>
    <w:rsid w:val="009177AE"/>
    <w:rsid w:val="00917915"/>
    <w:rsid w:val="009205F3"/>
    <w:rsid w:val="00920663"/>
    <w:rsid w:val="00921324"/>
    <w:rsid w:val="0092182A"/>
    <w:rsid w:val="00921D0B"/>
    <w:rsid w:val="00922692"/>
    <w:rsid w:val="00923A0D"/>
    <w:rsid w:val="00924091"/>
    <w:rsid w:val="00926A94"/>
    <w:rsid w:val="00930DB3"/>
    <w:rsid w:val="009319D5"/>
    <w:rsid w:val="00936F6A"/>
    <w:rsid w:val="009377F5"/>
    <w:rsid w:val="009379A7"/>
    <w:rsid w:val="0094129B"/>
    <w:rsid w:val="009428CA"/>
    <w:rsid w:val="00942A2B"/>
    <w:rsid w:val="00942FCF"/>
    <w:rsid w:val="00943472"/>
    <w:rsid w:val="0094358D"/>
    <w:rsid w:val="009445F3"/>
    <w:rsid w:val="00945C77"/>
    <w:rsid w:val="00946219"/>
    <w:rsid w:val="009505C7"/>
    <w:rsid w:val="00951278"/>
    <w:rsid w:val="009515ED"/>
    <w:rsid w:val="00952A0C"/>
    <w:rsid w:val="00955358"/>
    <w:rsid w:val="009556F8"/>
    <w:rsid w:val="009559AD"/>
    <w:rsid w:val="00956EC6"/>
    <w:rsid w:val="0096309C"/>
    <w:rsid w:val="0096324D"/>
    <w:rsid w:val="00964576"/>
    <w:rsid w:val="00965B53"/>
    <w:rsid w:val="00966719"/>
    <w:rsid w:val="00966B01"/>
    <w:rsid w:val="009718AF"/>
    <w:rsid w:val="00972319"/>
    <w:rsid w:val="009725E3"/>
    <w:rsid w:val="00974098"/>
    <w:rsid w:val="00975137"/>
    <w:rsid w:val="00976461"/>
    <w:rsid w:val="0097651B"/>
    <w:rsid w:val="0097727A"/>
    <w:rsid w:val="00980FB3"/>
    <w:rsid w:val="00981184"/>
    <w:rsid w:val="009812DB"/>
    <w:rsid w:val="00982C96"/>
    <w:rsid w:val="009830EC"/>
    <w:rsid w:val="00984247"/>
    <w:rsid w:val="00984E74"/>
    <w:rsid w:val="009852D7"/>
    <w:rsid w:val="00985534"/>
    <w:rsid w:val="00987ED8"/>
    <w:rsid w:val="009920C6"/>
    <w:rsid w:val="00992458"/>
    <w:rsid w:val="009925A8"/>
    <w:rsid w:val="009928BB"/>
    <w:rsid w:val="00993031"/>
    <w:rsid w:val="00993219"/>
    <w:rsid w:val="00993435"/>
    <w:rsid w:val="00993471"/>
    <w:rsid w:val="00993AEB"/>
    <w:rsid w:val="00993B38"/>
    <w:rsid w:val="00993CE9"/>
    <w:rsid w:val="009944E4"/>
    <w:rsid w:val="00994DCA"/>
    <w:rsid w:val="00995271"/>
    <w:rsid w:val="009953AE"/>
    <w:rsid w:val="00996CD0"/>
    <w:rsid w:val="00997091"/>
    <w:rsid w:val="00997F95"/>
    <w:rsid w:val="009A21FC"/>
    <w:rsid w:val="009A249B"/>
    <w:rsid w:val="009A416F"/>
    <w:rsid w:val="009A4DDE"/>
    <w:rsid w:val="009A5D70"/>
    <w:rsid w:val="009A5F60"/>
    <w:rsid w:val="009A69CE"/>
    <w:rsid w:val="009A6F0B"/>
    <w:rsid w:val="009B20DF"/>
    <w:rsid w:val="009B30CF"/>
    <w:rsid w:val="009B5409"/>
    <w:rsid w:val="009B5DDD"/>
    <w:rsid w:val="009B658F"/>
    <w:rsid w:val="009B68EA"/>
    <w:rsid w:val="009B7067"/>
    <w:rsid w:val="009B7A12"/>
    <w:rsid w:val="009C21B2"/>
    <w:rsid w:val="009C2AE1"/>
    <w:rsid w:val="009C31A7"/>
    <w:rsid w:val="009C3D33"/>
    <w:rsid w:val="009C4888"/>
    <w:rsid w:val="009C5E2D"/>
    <w:rsid w:val="009C62B3"/>
    <w:rsid w:val="009C69F3"/>
    <w:rsid w:val="009C747A"/>
    <w:rsid w:val="009D1763"/>
    <w:rsid w:val="009D2028"/>
    <w:rsid w:val="009D28B3"/>
    <w:rsid w:val="009D4419"/>
    <w:rsid w:val="009D4636"/>
    <w:rsid w:val="009D4E82"/>
    <w:rsid w:val="009D4E94"/>
    <w:rsid w:val="009D5155"/>
    <w:rsid w:val="009D5900"/>
    <w:rsid w:val="009D5C70"/>
    <w:rsid w:val="009D61C1"/>
    <w:rsid w:val="009D64E5"/>
    <w:rsid w:val="009D72DF"/>
    <w:rsid w:val="009D7591"/>
    <w:rsid w:val="009E06BD"/>
    <w:rsid w:val="009E0B33"/>
    <w:rsid w:val="009E0E10"/>
    <w:rsid w:val="009E1EF8"/>
    <w:rsid w:val="009E3AF6"/>
    <w:rsid w:val="009E4B82"/>
    <w:rsid w:val="009E4C7C"/>
    <w:rsid w:val="009E6040"/>
    <w:rsid w:val="009E6D60"/>
    <w:rsid w:val="009F028D"/>
    <w:rsid w:val="009F0B2F"/>
    <w:rsid w:val="009F307F"/>
    <w:rsid w:val="009F4618"/>
    <w:rsid w:val="009F46CC"/>
    <w:rsid w:val="009F499A"/>
    <w:rsid w:val="00A00A17"/>
    <w:rsid w:val="00A01A7C"/>
    <w:rsid w:val="00A037C8"/>
    <w:rsid w:val="00A041D9"/>
    <w:rsid w:val="00A05119"/>
    <w:rsid w:val="00A12671"/>
    <w:rsid w:val="00A12D27"/>
    <w:rsid w:val="00A134FE"/>
    <w:rsid w:val="00A13A4B"/>
    <w:rsid w:val="00A1506C"/>
    <w:rsid w:val="00A15C65"/>
    <w:rsid w:val="00A15EB5"/>
    <w:rsid w:val="00A1716D"/>
    <w:rsid w:val="00A177A5"/>
    <w:rsid w:val="00A17A27"/>
    <w:rsid w:val="00A21936"/>
    <w:rsid w:val="00A21D46"/>
    <w:rsid w:val="00A24158"/>
    <w:rsid w:val="00A24588"/>
    <w:rsid w:val="00A254D4"/>
    <w:rsid w:val="00A25534"/>
    <w:rsid w:val="00A2600D"/>
    <w:rsid w:val="00A26F7F"/>
    <w:rsid w:val="00A33489"/>
    <w:rsid w:val="00A34691"/>
    <w:rsid w:val="00A35840"/>
    <w:rsid w:val="00A35BDE"/>
    <w:rsid w:val="00A35E9A"/>
    <w:rsid w:val="00A364D7"/>
    <w:rsid w:val="00A3665B"/>
    <w:rsid w:val="00A373B2"/>
    <w:rsid w:val="00A41093"/>
    <w:rsid w:val="00A41705"/>
    <w:rsid w:val="00A438D0"/>
    <w:rsid w:val="00A5366A"/>
    <w:rsid w:val="00A537D1"/>
    <w:rsid w:val="00A53A22"/>
    <w:rsid w:val="00A542E2"/>
    <w:rsid w:val="00A54649"/>
    <w:rsid w:val="00A55CF6"/>
    <w:rsid w:val="00A566BE"/>
    <w:rsid w:val="00A61E92"/>
    <w:rsid w:val="00A668E5"/>
    <w:rsid w:val="00A671E2"/>
    <w:rsid w:val="00A70318"/>
    <w:rsid w:val="00A70460"/>
    <w:rsid w:val="00A7098A"/>
    <w:rsid w:val="00A716DA"/>
    <w:rsid w:val="00A724DE"/>
    <w:rsid w:val="00A72856"/>
    <w:rsid w:val="00A7287F"/>
    <w:rsid w:val="00A72C2A"/>
    <w:rsid w:val="00A7425F"/>
    <w:rsid w:val="00A77041"/>
    <w:rsid w:val="00A818E2"/>
    <w:rsid w:val="00A82FD0"/>
    <w:rsid w:val="00A86288"/>
    <w:rsid w:val="00A86ECA"/>
    <w:rsid w:val="00A90305"/>
    <w:rsid w:val="00A92BEC"/>
    <w:rsid w:val="00A941E6"/>
    <w:rsid w:val="00A944C3"/>
    <w:rsid w:val="00A95AD5"/>
    <w:rsid w:val="00A96A1C"/>
    <w:rsid w:val="00AA2517"/>
    <w:rsid w:val="00AA33F9"/>
    <w:rsid w:val="00AA66EB"/>
    <w:rsid w:val="00AA6770"/>
    <w:rsid w:val="00AA78F0"/>
    <w:rsid w:val="00AB102F"/>
    <w:rsid w:val="00AB1F54"/>
    <w:rsid w:val="00AB2714"/>
    <w:rsid w:val="00AB525F"/>
    <w:rsid w:val="00AB7B5B"/>
    <w:rsid w:val="00AC04E3"/>
    <w:rsid w:val="00AC0CB5"/>
    <w:rsid w:val="00AC0D22"/>
    <w:rsid w:val="00AC13B0"/>
    <w:rsid w:val="00AC23DD"/>
    <w:rsid w:val="00AC26EA"/>
    <w:rsid w:val="00AC28B8"/>
    <w:rsid w:val="00AC3B06"/>
    <w:rsid w:val="00AC48DB"/>
    <w:rsid w:val="00AC49E3"/>
    <w:rsid w:val="00AC5F24"/>
    <w:rsid w:val="00AC679F"/>
    <w:rsid w:val="00AC7BAD"/>
    <w:rsid w:val="00AD1257"/>
    <w:rsid w:val="00AD56FC"/>
    <w:rsid w:val="00AD5706"/>
    <w:rsid w:val="00AD5BA0"/>
    <w:rsid w:val="00AD7EFA"/>
    <w:rsid w:val="00AD7F78"/>
    <w:rsid w:val="00AE0455"/>
    <w:rsid w:val="00AE09FB"/>
    <w:rsid w:val="00AE1592"/>
    <w:rsid w:val="00AE1717"/>
    <w:rsid w:val="00AE25BB"/>
    <w:rsid w:val="00AE3F32"/>
    <w:rsid w:val="00AE45E3"/>
    <w:rsid w:val="00AE469C"/>
    <w:rsid w:val="00AE51EB"/>
    <w:rsid w:val="00AE7668"/>
    <w:rsid w:val="00AE7B93"/>
    <w:rsid w:val="00AF0031"/>
    <w:rsid w:val="00AF0EC7"/>
    <w:rsid w:val="00AF0F7A"/>
    <w:rsid w:val="00AF1404"/>
    <w:rsid w:val="00AF163F"/>
    <w:rsid w:val="00AF1A74"/>
    <w:rsid w:val="00AF1C94"/>
    <w:rsid w:val="00AF24EC"/>
    <w:rsid w:val="00AF3583"/>
    <w:rsid w:val="00AF390D"/>
    <w:rsid w:val="00B00A82"/>
    <w:rsid w:val="00B00C0F"/>
    <w:rsid w:val="00B01C92"/>
    <w:rsid w:val="00B0206A"/>
    <w:rsid w:val="00B0245D"/>
    <w:rsid w:val="00B0287C"/>
    <w:rsid w:val="00B02BB8"/>
    <w:rsid w:val="00B030EF"/>
    <w:rsid w:val="00B03296"/>
    <w:rsid w:val="00B05808"/>
    <w:rsid w:val="00B05846"/>
    <w:rsid w:val="00B071B4"/>
    <w:rsid w:val="00B11169"/>
    <w:rsid w:val="00B1578B"/>
    <w:rsid w:val="00B1597C"/>
    <w:rsid w:val="00B164BD"/>
    <w:rsid w:val="00B17662"/>
    <w:rsid w:val="00B215C9"/>
    <w:rsid w:val="00B22AA1"/>
    <w:rsid w:val="00B235C2"/>
    <w:rsid w:val="00B23739"/>
    <w:rsid w:val="00B2418B"/>
    <w:rsid w:val="00B24290"/>
    <w:rsid w:val="00B24DD1"/>
    <w:rsid w:val="00B2599D"/>
    <w:rsid w:val="00B27215"/>
    <w:rsid w:val="00B27D6E"/>
    <w:rsid w:val="00B27E92"/>
    <w:rsid w:val="00B30AB8"/>
    <w:rsid w:val="00B31BB4"/>
    <w:rsid w:val="00B31F85"/>
    <w:rsid w:val="00B3459F"/>
    <w:rsid w:val="00B36E7B"/>
    <w:rsid w:val="00B378B9"/>
    <w:rsid w:val="00B41358"/>
    <w:rsid w:val="00B42356"/>
    <w:rsid w:val="00B42598"/>
    <w:rsid w:val="00B429CF"/>
    <w:rsid w:val="00B432F2"/>
    <w:rsid w:val="00B46E6F"/>
    <w:rsid w:val="00B4791C"/>
    <w:rsid w:val="00B47B70"/>
    <w:rsid w:val="00B47CA3"/>
    <w:rsid w:val="00B47D53"/>
    <w:rsid w:val="00B5222A"/>
    <w:rsid w:val="00B56EC8"/>
    <w:rsid w:val="00B60973"/>
    <w:rsid w:val="00B62BF8"/>
    <w:rsid w:val="00B630D4"/>
    <w:rsid w:val="00B63CB0"/>
    <w:rsid w:val="00B63CBA"/>
    <w:rsid w:val="00B646EA"/>
    <w:rsid w:val="00B64EE8"/>
    <w:rsid w:val="00B65516"/>
    <w:rsid w:val="00B67A37"/>
    <w:rsid w:val="00B7088C"/>
    <w:rsid w:val="00B71AE2"/>
    <w:rsid w:val="00B71E2C"/>
    <w:rsid w:val="00B71F8E"/>
    <w:rsid w:val="00B72168"/>
    <w:rsid w:val="00B73F3E"/>
    <w:rsid w:val="00B74B2A"/>
    <w:rsid w:val="00B74EE2"/>
    <w:rsid w:val="00B762E4"/>
    <w:rsid w:val="00B80F16"/>
    <w:rsid w:val="00B8156D"/>
    <w:rsid w:val="00B83DF8"/>
    <w:rsid w:val="00B8438E"/>
    <w:rsid w:val="00B84CCB"/>
    <w:rsid w:val="00B86753"/>
    <w:rsid w:val="00B872FD"/>
    <w:rsid w:val="00B8785B"/>
    <w:rsid w:val="00B87F53"/>
    <w:rsid w:val="00B903A5"/>
    <w:rsid w:val="00B903B4"/>
    <w:rsid w:val="00B9142C"/>
    <w:rsid w:val="00B9171E"/>
    <w:rsid w:val="00B949FE"/>
    <w:rsid w:val="00B96FEC"/>
    <w:rsid w:val="00BA04F8"/>
    <w:rsid w:val="00BA1281"/>
    <w:rsid w:val="00BA1AAE"/>
    <w:rsid w:val="00BA222D"/>
    <w:rsid w:val="00BA2235"/>
    <w:rsid w:val="00BA3043"/>
    <w:rsid w:val="00BA31C2"/>
    <w:rsid w:val="00BA5D2E"/>
    <w:rsid w:val="00BA7985"/>
    <w:rsid w:val="00BB06FC"/>
    <w:rsid w:val="00BB0D89"/>
    <w:rsid w:val="00BB1591"/>
    <w:rsid w:val="00BB290E"/>
    <w:rsid w:val="00BB41FB"/>
    <w:rsid w:val="00BB45D1"/>
    <w:rsid w:val="00BB4FAB"/>
    <w:rsid w:val="00BB6FF7"/>
    <w:rsid w:val="00BC070E"/>
    <w:rsid w:val="00BC0E92"/>
    <w:rsid w:val="00BC1090"/>
    <w:rsid w:val="00BC136F"/>
    <w:rsid w:val="00BC174D"/>
    <w:rsid w:val="00BC37CE"/>
    <w:rsid w:val="00BC5A22"/>
    <w:rsid w:val="00BC62F3"/>
    <w:rsid w:val="00BC6681"/>
    <w:rsid w:val="00BC7406"/>
    <w:rsid w:val="00BD0A30"/>
    <w:rsid w:val="00BD0FAC"/>
    <w:rsid w:val="00BD4091"/>
    <w:rsid w:val="00BD45F1"/>
    <w:rsid w:val="00BD4DE5"/>
    <w:rsid w:val="00BD62C9"/>
    <w:rsid w:val="00BD778D"/>
    <w:rsid w:val="00BE2482"/>
    <w:rsid w:val="00BE3565"/>
    <w:rsid w:val="00BE35B1"/>
    <w:rsid w:val="00BE4E6B"/>
    <w:rsid w:val="00BE50EB"/>
    <w:rsid w:val="00BE5195"/>
    <w:rsid w:val="00BE5D2B"/>
    <w:rsid w:val="00BE60FF"/>
    <w:rsid w:val="00BE63F9"/>
    <w:rsid w:val="00BE7BB5"/>
    <w:rsid w:val="00BF0A9F"/>
    <w:rsid w:val="00BF1881"/>
    <w:rsid w:val="00BF19B5"/>
    <w:rsid w:val="00BF26C2"/>
    <w:rsid w:val="00BF4054"/>
    <w:rsid w:val="00BF42E0"/>
    <w:rsid w:val="00BF56ED"/>
    <w:rsid w:val="00BF66E4"/>
    <w:rsid w:val="00BF7F91"/>
    <w:rsid w:val="00C00CA5"/>
    <w:rsid w:val="00C0238D"/>
    <w:rsid w:val="00C04F04"/>
    <w:rsid w:val="00C05065"/>
    <w:rsid w:val="00C06253"/>
    <w:rsid w:val="00C067BB"/>
    <w:rsid w:val="00C06C5C"/>
    <w:rsid w:val="00C07BFB"/>
    <w:rsid w:val="00C11DB3"/>
    <w:rsid w:val="00C11EAD"/>
    <w:rsid w:val="00C13861"/>
    <w:rsid w:val="00C13A39"/>
    <w:rsid w:val="00C1604B"/>
    <w:rsid w:val="00C166EB"/>
    <w:rsid w:val="00C16889"/>
    <w:rsid w:val="00C16B8C"/>
    <w:rsid w:val="00C173BB"/>
    <w:rsid w:val="00C17852"/>
    <w:rsid w:val="00C211D1"/>
    <w:rsid w:val="00C2137F"/>
    <w:rsid w:val="00C243D2"/>
    <w:rsid w:val="00C25E2F"/>
    <w:rsid w:val="00C27963"/>
    <w:rsid w:val="00C3035C"/>
    <w:rsid w:val="00C307C4"/>
    <w:rsid w:val="00C30E48"/>
    <w:rsid w:val="00C327D1"/>
    <w:rsid w:val="00C33001"/>
    <w:rsid w:val="00C34693"/>
    <w:rsid w:val="00C35D2A"/>
    <w:rsid w:val="00C360C7"/>
    <w:rsid w:val="00C3644C"/>
    <w:rsid w:val="00C36558"/>
    <w:rsid w:val="00C37CA0"/>
    <w:rsid w:val="00C446CC"/>
    <w:rsid w:val="00C44736"/>
    <w:rsid w:val="00C44BAB"/>
    <w:rsid w:val="00C451BF"/>
    <w:rsid w:val="00C471D2"/>
    <w:rsid w:val="00C47DD6"/>
    <w:rsid w:val="00C50876"/>
    <w:rsid w:val="00C50C58"/>
    <w:rsid w:val="00C523F3"/>
    <w:rsid w:val="00C532C2"/>
    <w:rsid w:val="00C53E68"/>
    <w:rsid w:val="00C53FBA"/>
    <w:rsid w:val="00C5541B"/>
    <w:rsid w:val="00C55946"/>
    <w:rsid w:val="00C56228"/>
    <w:rsid w:val="00C5664B"/>
    <w:rsid w:val="00C56F16"/>
    <w:rsid w:val="00C57283"/>
    <w:rsid w:val="00C5761A"/>
    <w:rsid w:val="00C60561"/>
    <w:rsid w:val="00C60AFF"/>
    <w:rsid w:val="00C60D39"/>
    <w:rsid w:val="00C64777"/>
    <w:rsid w:val="00C65071"/>
    <w:rsid w:val="00C66ED6"/>
    <w:rsid w:val="00C71213"/>
    <w:rsid w:val="00C71282"/>
    <w:rsid w:val="00C716E9"/>
    <w:rsid w:val="00C72640"/>
    <w:rsid w:val="00C740B7"/>
    <w:rsid w:val="00C747CB"/>
    <w:rsid w:val="00C74DBB"/>
    <w:rsid w:val="00C77D57"/>
    <w:rsid w:val="00C806A1"/>
    <w:rsid w:val="00C810EA"/>
    <w:rsid w:val="00C81D0C"/>
    <w:rsid w:val="00C820F0"/>
    <w:rsid w:val="00C82931"/>
    <w:rsid w:val="00C847BF"/>
    <w:rsid w:val="00C84C79"/>
    <w:rsid w:val="00C8519D"/>
    <w:rsid w:val="00C874FB"/>
    <w:rsid w:val="00C87ADE"/>
    <w:rsid w:val="00C90E8A"/>
    <w:rsid w:val="00C90F56"/>
    <w:rsid w:val="00C9321B"/>
    <w:rsid w:val="00C95124"/>
    <w:rsid w:val="00C95645"/>
    <w:rsid w:val="00C967E4"/>
    <w:rsid w:val="00CA01C7"/>
    <w:rsid w:val="00CA3AA3"/>
    <w:rsid w:val="00CA3FA0"/>
    <w:rsid w:val="00CA5674"/>
    <w:rsid w:val="00CA65F8"/>
    <w:rsid w:val="00CB0275"/>
    <w:rsid w:val="00CB0916"/>
    <w:rsid w:val="00CB1FCB"/>
    <w:rsid w:val="00CB25EE"/>
    <w:rsid w:val="00CB31A2"/>
    <w:rsid w:val="00CB3ABD"/>
    <w:rsid w:val="00CB3EB9"/>
    <w:rsid w:val="00CB49BB"/>
    <w:rsid w:val="00CB553B"/>
    <w:rsid w:val="00CB5861"/>
    <w:rsid w:val="00CB5A53"/>
    <w:rsid w:val="00CB670C"/>
    <w:rsid w:val="00CB677A"/>
    <w:rsid w:val="00CC0B28"/>
    <w:rsid w:val="00CC0BAE"/>
    <w:rsid w:val="00CC1030"/>
    <w:rsid w:val="00CC2DCF"/>
    <w:rsid w:val="00CC2E52"/>
    <w:rsid w:val="00CC3A69"/>
    <w:rsid w:val="00CC3A91"/>
    <w:rsid w:val="00CC4C2E"/>
    <w:rsid w:val="00CC7A48"/>
    <w:rsid w:val="00CD0D05"/>
    <w:rsid w:val="00CD2D9C"/>
    <w:rsid w:val="00CD31F8"/>
    <w:rsid w:val="00CD4C7B"/>
    <w:rsid w:val="00CD6CCA"/>
    <w:rsid w:val="00CD7072"/>
    <w:rsid w:val="00CD7B67"/>
    <w:rsid w:val="00CE1246"/>
    <w:rsid w:val="00CE1552"/>
    <w:rsid w:val="00CE42BC"/>
    <w:rsid w:val="00CE6FCB"/>
    <w:rsid w:val="00CE7237"/>
    <w:rsid w:val="00CE755B"/>
    <w:rsid w:val="00CF03D7"/>
    <w:rsid w:val="00CF15B4"/>
    <w:rsid w:val="00CF4087"/>
    <w:rsid w:val="00CF7A46"/>
    <w:rsid w:val="00D00E4B"/>
    <w:rsid w:val="00D02E5B"/>
    <w:rsid w:val="00D042FC"/>
    <w:rsid w:val="00D04811"/>
    <w:rsid w:val="00D04D7E"/>
    <w:rsid w:val="00D0582D"/>
    <w:rsid w:val="00D0781B"/>
    <w:rsid w:val="00D11C61"/>
    <w:rsid w:val="00D12BD5"/>
    <w:rsid w:val="00D12CA2"/>
    <w:rsid w:val="00D133FF"/>
    <w:rsid w:val="00D134B7"/>
    <w:rsid w:val="00D14196"/>
    <w:rsid w:val="00D14445"/>
    <w:rsid w:val="00D15CBA"/>
    <w:rsid w:val="00D204D1"/>
    <w:rsid w:val="00D2168C"/>
    <w:rsid w:val="00D22CB4"/>
    <w:rsid w:val="00D22EE2"/>
    <w:rsid w:val="00D2325A"/>
    <w:rsid w:val="00D24328"/>
    <w:rsid w:val="00D25D6E"/>
    <w:rsid w:val="00D25E08"/>
    <w:rsid w:val="00D3013F"/>
    <w:rsid w:val="00D30790"/>
    <w:rsid w:val="00D3089C"/>
    <w:rsid w:val="00D30A27"/>
    <w:rsid w:val="00D34204"/>
    <w:rsid w:val="00D3421D"/>
    <w:rsid w:val="00D34E45"/>
    <w:rsid w:val="00D357FC"/>
    <w:rsid w:val="00D37A32"/>
    <w:rsid w:val="00D40282"/>
    <w:rsid w:val="00D4299C"/>
    <w:rsid w:val="00D448E2"/>
    <w:rsid w:val="00D45327"/>
    <w:rsid w:val="00D4574E"/>
    <w:rsid w:val="00D46AB8"/>
    <w:rsid w:val="00D5244A"/>
    <w:rsid w:val="00D52BD4"/>
    <w:rsid w:val="00D53969"/>
    <w:rsid w:val="00D54EB1"/>
    <w:rsid w:val="00D56454"/>
    <w:rsid w:val="00D57A87"/>
    <w:rsid w:val="00D6016C"/>
    <w:rsid w:val="00D61453"/>
    <w:rsid w:val="00D61503"/>
    <w:rsid w:val="00D61FDF"/>
    <w:rsid w:val="00D622AA"/>
    <w:rsid w:val="00D62A17"/>
    <w:rsid w:val="00D63EC0"/>
    <w:rsid w:val="00D64806"/>
    <w:rsid w:val="00D6725E"/>
    <w:rsid w:val="00D70635"/>
    <w:rsid w:val="00D710AE"/>
    <w:rsid w:val="00D714B0"/>
    <w:rsid w:val="00D714B8"/>
    <w:rsid w:val="00D717B8"/>
    <w:rsid w:val="00D7286D"/>
    <w:rsid w:val="00D73468"/>
    <w:rsid w:val="00D75B96"/>
    <w:rsid w:val="00D765C6"/>
    <w:rsid w:val="00D76BF8"/>
    <w:rsid w:val="00D7771D"/>
    <w:rsid w:val="00D77A02"/>
    <w:rsid w:val="00D82191"/>
    <w:rsid w:val="00D835E6"/>
    <w:rsid w:val="00D840E1"/>
    <w:rsid w:val="00D85A3F"/>
    <w:rsid w:val="00D86837"/>
    <w:rsid w:val="00D918C3"/>
    <w:rsid w:val="00D92690"/>
    <w:rsid w:val="00D92FA5"/>
    <w:rsid w:val="00D93A8F"/>
    <w:rsid w:val="00D93E1E"/>
    <w:rsid w:val="00D9466E"/>
    <w:rsid w:val="00D960BB"/>
    <w:rsid w:val="00D9708E"/>
    <w:rsid w:val="00D97E80"/>
    <w:rsid w:val="00DA1F53"/>
    <w:rsid w:val="00DA4541"/>
    <w:rsid w:val="00DA4966"/>
    <w:rsid w:val="00DA6851"/>
    <w:rsid w:val="00DA75F7"/>
    <w:rsid w:val="00DA7753"/>
    <w:rsid w:val="00DA7A03"/>
    <w:rsid w:val="00DB0C8F"/>
    <w:rsid w:val="00DB17BF"/>
    <w:rsid w:val="00DB2480"/>
    <w:rsid w:val="00DB4909"/>
    <w:rsid w:val="00DB4BBF"/>
    <w:rsid w:val="00DB564A"/>
    <w:rsid w:val="00DC2C57"/>
    <w:rsid w:val="00DC32A0"/>
    <w:rsid w:val="00DC3D52"/>
    <w:rsid w:val="00DC4937"/>
    <w:rsid w:val="00DD157F"/>
    <w:rsid w:val="00DD242B"/>
    <w:rsid w:val="00DD30EC"/>
    <w:rsid w:val="00DD3359"/>
    <w:rsid w:val="00DD3BDE"/>
    <w:rsid w:val="00DD54A7"/>
    <w:rsid w:val="00DD6052"/>
    <w:rsid w:val="00DD7693"/>
    <w:rsid w:val="00DD7822"/>
    <w:rsid w:val="00DD7C6E"/>
    <w:rsid w:val="00DD7E2D"/>
    <w:rsid w:val="00DE14E2"/>
    <w:rsid w:val="00DE221D"/>
    <w:rsid w:val="00DE33F6"/>
    <w:rsid w:val="00DE3667"/>
    <w:rsid w:val="00DE3ED1"/>
    <w:rsid w:val="00DE5613"/>
    <w:rsid w:val="00DE6958"/>
    <w:rsid w:val="00DE776A"/>
    <w:rsid w:val="00DE797B"/>
    <w:rsid w:val="00DE7A7D"/>
    <w:rsid w:val="00DF05DE"/>
    <w:rsid w:val="00DF1EA8"/>
    <w:rsid w:val="00DF32CA"/>
    <w:rsid w:val="00DF3E27"/>
    <w:rsid w:val="00DF406A"/>
    <w:rsid w:val="00DF5372"/>
    <w:rsid w:val="00DF6671"/>
    <w:rsid w:val="00DF6C37"/>
    <w:rsid w:val="00DF7462"/>
    <w:rsid w:val="00E01B3E"/>
    <w:rsid w:val="00E03064"/>
    <w:rsid w:val="00E07676"/>
    <w:rsid w:val="00E10695"/>
    <w:rsid w:val="00E111D4"/>
    <w:rsid w:val="00E11FA4"/>
    <w:rsid w:val="00E1247D"/>
    <w:rsid w:val="00E14224"/>
    <w:rsid w:val="00E15224"/>
    <w:rsid w:val="00E15C53"/>
    <w:rsid w:val="00E17125"/>
    <w:rsid w:val="00E23808"/>
    <w:rsid w:val="00E244DE"/>
    <w:rsid w:val="00E25589"/>
    <w:rsid w:val="00E264A0"/>
    <w:rsid w:val="00E274F4"/>
    <w:rsid w:val="00E27DBA"/>
    <w:rsid w:val="00E30B92"/>
    <w:rsid w:val="00E318FD"/>
    <w:rsid w:val="00E31BA0"/>
    <w:rsid w:val="00E32357"/>
    <w:rsid w:val="00E32972"/>
    <w:rsid w:val="00E333A1"/>
    <w:rsid w:val="00E33602"/>
    <w:rsid w:val="00E33A6A"/>
    <w:rsid w:val="00E35556"/>
    <w:rsid w:val="00E3558C"/>
    <w:rsid w:val="00E36B56"/>
    <w:rsid w:val="00E36BD9"/>
    <w:rsid w:val="00E36F49"/>
    <w:rsid w:val="00E375DB"/>
    <w:rsid w:val="00E404DD"/>
    <w:rsid w:val="00E40942"/>
    <w:rsid w:val="00E4132E"/>
    <w:rsid w:val="00E41B3F"/>
    <w:rsid w:val="00E423CC"/>
    <w:rsid w:val="00E42C39"/>
    <w:rsid w:val="00E43E66"/>
    <w:rsid w:val="00E444DA"/>
    <w:rsid w:val="00E447E2"/>
    <w:rsid w:val="00E4534A"/>
    <w:rsid w:val="00E464C6"/>
    <w:rsid w:val="00E47EC0"/>
    <w:rsid w:val="00E50728"/>
    <w:rsid w:val="00E50E5D"/>
    <w:rsid w:val="00E51F3C"/>
    <w:rsid w:val="00E520F2"/>
    <w:rsid w:val="00E53007"/>
    <w:rsid w:val="00E5304C"/>
    <w:rsid w:val="00E539BE"/>
    <w:rsid w:val="00E567C3"/>
    <w:rsid w:val="00E56842"/>
    <w:rsid w:val="00E57502"/>
    <w:rsid w:val="00E609D3"/>
    <w:rsid w:val="00E61822"/>
    <w:rsid w:val="00E61BEB"/>
    <w:rsid w:val="00E633BD"/>
    <w:rsid w:val="00E64C7C"/>
    <w:rsid w:val="00E64F71"/>
    <w:rsid w:val="00E66AFE"/>
    <w:rsid w:val="00E706C1"/>
    <w:rsid w:val="00E70CA8"/>
    <w:rsid w:val="00E71343"/>
    <w:rsid w:val="00E71A7F"/>
    <w:rsid w:val="00E72603"/>
    <w:rsid w:val="00E800C5"/>
    <w:rsid w:val="00E80D2B"/>
    <w:rsid w:val="00E80D3A"/>
    <w:rsid w:val="00E81492"/>
    <w:rsid w:val="00E82028"/>
    <w:rsid w:val="00E84221"/>
    <w:rsid w:val="00E84AD9"/>
    <w:rsid w:val="00E85729"/>
    <w:rsid w:val="00E85AF6"/>
    <w:rsid w:val="00E871CE"/>
    <w:rsid w:val="00E8722F"/>
    <w:rsid w:val="00E90256"/>
    <w:rsid w:val="00E90624"/>
    <w:rsid w:val="00E94AD3"/>
    <w:rsid w:val="00E94FD0"/>
    <w:rsid w:val="00E96439"/>
    <w:rsid w:val="00E96C8A"/>
    <w:rsid w:val="00E96F57"/>
    <w:rsid w:val="00EA0C6E"/>
    <w:rsid w:val="00EA1893"/>
    <w:rsid w:val="00EA3350"/>
    <w:rsid w:val="00EA6A20"/>
    <w:rsid w:val="00EA7314"/>
    <w:rsid w:val="00EB1C2D"/>
    <w:rsid w:val="00EB23AC"/>
    <w:rsid w:val="00EB2A45"/>
    <w:rsid w:val="00EB4330"/>
    <w:rsid w:val="00EB5ADB"/>
    <w:rsid w:val="00EB5CAC"/>
    <w:rsid w:val="00EB6E30"/>
    <w:rsid w:val="00EB72EF"/>
    <w:rsid w:val="00EC0406"/>
    <w:rsid w:val="00EC11B2"/>
    <w:rsid w:val="00EC1DC0"/>
    <w:rsid w:val="00EC26F6"/>
    <w:rsid w:val="00EC4148"/>
    <w:rsid w:val="00EC5B7A"/>
    <w:rsid w:val="00EC6637"/>
    <w:rsid w:val="00EC6E5E"/>
    <w:rsid w:val="00EC6F64"/>
    <w:rsid w:val="00EC7548"/>
    <w:rsid w:val="00ED0A2D"/>
    <w:rsid w:val="00ED0B29"/>
    <w:rsid w:val="00ED12EE"/>
    <w:rsid w:val="00ED1CC3"/>
    <w:rsid w:val="00ED2C3A"/>
    <w:rsid w:val="00ED429D"/>
    <w:rsid w:val="00ED44DB"/>
    <w:rsid w:val="00ED4DD4"/>
    <w:rsid w:val="00ED7349"/>
    <w:rsid w:val="00EE132D"/>
    <w:rsid w:val="00EE1739"/>
    <w:rsid w:val="00EE2F3F"/>
    <w:rsid w:val="00EE3333"/>
    <w:rsid w:val="00EE4066"/>
    <w:rsid w:val="00EE4F97"/>
    <w:rsid w:val="00EE5767"/>
    <w:rsid w:val="00EE6B17"/>
    <w:rsid w:val="00EE7D9B"/>
    <w:rsid w:val="00EF0E98"/>
    <w:rsid w:val="00EF1FE3"/>
    <w:rsid w:val="00EF2288"/>
    <w:rsid w:val="00EF2498"/>
    <w:rsid w:val="00EF28C5"/>
    <w:rsid w:val="00EF7392"/>
    <w:rsid w:val="00EF74B4"/>
    <w:rsid w:val="00F0158D"/>
    <w:rsid w:val="00F030FF"/>
    <w:rsid w:val="00F04A34"/>
    <w:rsid w:val="00F0766A"/>
    <w:rsid w:val="00F07AAD"/>
    <w:rsid w:val="00F100B3"/>
    <w:rsid w:val="00F12E1F"/>
    <w:rsid w:val="00F13133"/>
    <w:rsid w:val="00F151A6"/>
    <w:rsid w:val="00F1541F"/>
    <w:rsid w:val="00F163E0"/>
    <w:rsid w:val="00F17288"/>
    <w:rsid w:val="00F23201"/>
    <w:rsid w:val="00F2354E"/>
    <w:rsid w:val="00F23C10"/>
    <w:rsid w:val="00F2406A"/>
    <w:rsid w:val="00F246CD"/>
    <w:rsid w:val="00F26037"/>
    <w:rsid w:val="00F26BD7"/>
    <w:rsid w:val="00F305CC"/>
    <w:rsid w:val="00F31935"/>
    <w:rsid w:val="00F31FA7"/>
    <w:rsid w:val="00F32281"/>
    <w:rsid w:val="00F33552"/>
    <w:rsid w:val="00F33E50"/>
    <w:rsid w:val="00F33FAB"/>
    <w:rsid w:val="00F34B5E"/>
    <w:rsid w:val="00F3557F"/>
    <w:rsid w:val="00F401F0"/>
    <w:rsid w:val="00F42BB5"/>
    <w:rsid w:val="00F42F36"/>
    <w:rsid w:val="00F46476"/>
    <w:rsid w:val="00F46C41"/>
    <w:rsid w:val="00F471E9"/>
    <w:rsid w:val="00F477AE"/>
    <w:rsid w:val="00F47B41"/>
    <w:rsid w:val="00F50060"/>
    <w:rsid w:val="00F50740"/>
    <w:rsid w:val="00F51DD7"/>
    <w:rsid w:val="00F533E4"/>
    <w:rsid w:val="00F535F5"/>
    <w:rsid w:val="00F538FB"/>
    <w:rsid w:val="00F53966"/>
    <w:rsid w:val="00F549CF"/>
    <w:rsid w:val="00F56545"/>
    <w:rsid w:val="00F56ED6"/>
    <w:rsid w:val="00F600D1"/>
    <w:rsid w:val="00F6015D"/>
    <w:rsid w:val="00F609C0"/>
    <w:rsid w:val="00F61588"/>
    <w:rsid w:val="00F61F06"/>
    <w:rsid w:val="00F62673"/>
    <w:rsid w:val="00F63990"/>
    <w:rsid w:val="00F63CB1"/>
    <w:rsid w:val="00F67DD9"/>
    <w:rsid w:val="00F70F1A"/>
    <w:rsid w:val="00F7452E"/>
    <w:rsid w:val="00F74F8D"/>
    <w:rsid w:val="00F81694"/>
    <w:rsid w:val="00F81891"/>
    <w:rsid w:val="00F81C49"/>
    <w:rsid w:val="00F81F4C"/>
    <w:rsid w:val="00F84DDD"/>
    <w:rsid w:val="00F85225"/>
    <w:rsid w:val="00F8760F"/>
    <w:rsid w:val="00F87C7D"/>
    <w:rsid w:val="00F90208"/>
    <w:rsid w:val="00F90CF2"/>
    <w:rsid w:val="00F92B9B"/>
    <w:rsid w:val="00F94031"/>
    <w:rsid w:val="00F95379"/>
    <w:rsid w:val="00F9572D"/>
    <w:rsid w:val="00F964A3"/>
    <w:rsid w:val="00F96901"/>
    <w:rsid w:val="00F979B5"/>
    <w:rsid w:val="00F97BAD"/>
    <w:rsid w:val="00FA1B05"/>
    <w:rsid w:val="00FA287D"/>
    <w:rsid w:val="00FA296B"/>
    <w:rsid w:val="00FA406A"/>
    <w:rsid w:val="00FA4818"/>
    <w:rsid w:val="00FA678A"/>
    <w:rsid w:val="00FA7317"/>
    <w:rsid w:val="00FB091E"/>
    <w:rsid w:val="00FB0CB5"/>
    <w:rsid w:val="00FB2139"/>
    <w:rsid w:val="00FB22FF"/>
    <w:rsid w:val="00FB2348"/>
    <w:rsid w:val="00FB4185"/>
    <w:rsid w:val="00FB5FD4"/>
    <w:rsid w:val="00FB6A91"/>
    <w:rsid w:val="00FC0718"/>
    <w:rsid w:val="00FC16B0"/>
    <w:rsid w:val="00FC1F68"/>
    <w:rsid w:val="00FC30F0"/>
    <w:rsid w:val="00FC3E31"/>
    <w:rsid w:val="00FC4FBE"/>
    <w:rsid w:val="00FC5079"/>
    <w:rsid w:val="00FC5D3D"/>
    <w:rsid w:val="00FC5E8F"/>
    <w:rsid w:val="00FC7147"/>
    <w:rsid w:val="00FD074F"/>
    <w:rsid w:val="00FD0947"/>
    <w:rsid w:val="00FD0A6B"/>
    <w:rsid w:val="00FD0CCE"/>
    <w:rsid w:val="00FD17DD"/>
    <w:rsid w:val="00FD4C59"/>
    <w:rsid w:val="00FD58C6"/>
    <w:rsid w:val="00FD7A76"/>
    <w:rsid w:val="00FD7E5E"/>
    <w:rsid w:val="00FE37B4"/>
    <w:rsid w:val="00FE3FD1"/>
    <w:rsid w:val="00FE40C2"/>
    <w:rsid w:val="00FE4844"/>
    <w:rsid w:val="00FE5436"/>
    <w:rsid w:val="00FE570E"/>
    <w:rsid w:val="00FE6CE1"/>
    <w:rsid w:val="00FE7A16"/>
    <w:rsid w:val="00FF047E"/>
    <w:rsid w:val="00FF0F64"/>
    <w:rsid w:val="00FF3C02"/>
    <w:rsid w:val="00FF613D"/>
    <w:rsid w:val="00FF6EDD"/>
    <w:rsid w:val="00FF71D0"/>
    <w:rsid w:val="00FF7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9B71CC"/>
  <w15:docId w15:val="{95E0A9D4-F90F-436B-B2C2-8DE4B6C6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2D"/>
    <w:pPr>
      <w:spacing w:after="0" w:line="240" w:lineRule="auto"/>
      <w:ind w:firstLine="567"/>
    </w:pPr>
    <w:rPr>
      <w:rFonts w:ascii="Times New Roman" w:hAnsi="Times New Roman"/>
      <w:sz w:val="24"/>
    </w:rPr>
  </w:style>
  <w:style w:type="paragraph" w:styleId="Heading1">
    <w:name w:val="heading 1"/>
    <w:basedOn w:val="Normal"/>
    <w:next w:val="Normal"/>
    <w:link w:val="Heading1Char"/>
    <w:uiPriority w:val="9"/>
    <w:qFormat/>
    <w:rsid w:val="000C0ED2"/>
    <w:pPr>
      <w:keepNext/>
      <w:tabs>
        <w:tab w:val="left" w:pos="3686"/>
      </w:tabs>
      <w:spacing w:line="360" w:lineRule="auto"/>
      <w:ind w:firstLine="0"/>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2028"/>
    <w:pPr>
      <w:ind w:left="720"/>
      <w:contextualSpacing/>
    </w:pPr>
    <w:rPr>
      <w:rFonts w:ascii="Calibri" w:eastAsia="Times New Roman" w:hAnsi="Calibri" w:cs="Times New Roman"/>
    </w:rPr>
  </w:style>
  <w:style w:type="paragraph" w:styleId="FootnoteText">
    <w:name w:val="footnote text"/>
    <w:basedOn w:val="Normal"/>
    <w:link w:val="FootnoteTextChar"/>
    <w:unhideWhenUsed/>
    <w:rsid w:val="009D2028"/>
    <w:rPr>
      <w:rFonts w:ascii="Calibri" w:eastAsia="Calibri" w:hAnsi="Calibri" w:cs="Times New Roman"/>
      <w:sz w:val="20"/>
      <w:szCs w:val="20"/>
    </w:rPr>
  </w:style>
  <w:style w:type="character" w:customStyle="1" w:styleId="FootnoteTextChar">
    <w:name w:val="Footnote Text Char"/>
    <w:basedOn w:val="DefaultParagraphFont"/>
    <w:link w:val="FootnoteText"/>
    <w:rsid w:val="009D2028"/>
    <w:rPr>
      <w:rFonts w:ascii="Calibri" w:eastAsia="Calibri" w:hAnsi="Calibri" w:cs="Times New Roman"/>
      <w:sz w:val="20"/>
      <w:szCs w:val="20"/>
      <w:lang w:val="en-US"/>
    </w:rPr>
  </w:style>
  <w:style w:type="character" w:styleId="FootnoteReference">
    <w:name w:val="footnote reference"/>
    <w:basedOn w:val="DefaultParagraphFont"/>
    <w:unhideWhenUsed/>
    <w:rsid w:val="009D2028"/>
    <w:rPr>
      <w:vertAlign w:val="superscript"/>
    </w:rPr>
  </w:style>
  <w:style w:type="character" w:styleId="Hyperlink">
    <w:name w:val="Hyperlink"/>
    <w:basedOn w:val="DefaultParagraphFont"/>
    <w:uiPriority w:val="99"/>
    <w:unhideWhenUsed/>
    <w:rsid w:val="009D2028"/>
    <w:rPr>
      <w:color w:val="0000FF" w:themeColor="hyperlink"/>
      <w:u w:val="single"/>
    </w:rPr>
  </w:style>
  <w:style w:type="table" w:styleId="TableGrid">
    <w:name w:val="Table Grid"/>
    <w:basedOn w:val="TableNormal"/>
    <w:uiPriority w:val="59"/>
    <w:rsid w:val="009D2028"/>
    <w:pPr>
      <w:spacing w:after="0" w:line="240" w:lineRule="auto"/>
    </w:pPr>
    <w:rPr>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028"/>
    <w:rPr>
      <w:rFonts w:ascii="Tahoma" w:hAnsi="Tahoma" w:cs="Tahoma"/>
      <w:sz w:val="16"/>
      <w:szCs w:val="16"/>
    </w:rPr>
  </w:style>
  <w:style w:type="character" w:customStyle="1" w:styleId="BalloonTextChar">
    <w:name w:val="Balloon Text Char"/>
    <w:basedOn w:val="DefaultParagraphFont"/>
    <w:link w:val="BalloonText"/>
    <w:uiPriority w:val="99"/>
    <w:semiHidden/>
    <w:rsid w:val="009D2028"/>
    <w:rPr>
      <w:rFonts w:ascii="Tahoma" w:eastAsiaTheme="minorEastAsia" w:hAnsi="Tahoma" w:cs="Tahoma"/>
      <w:sz w:val="16"/>
      <w:szCs w:val="16"/>
      <w:lang w:val="fi-FI" w:eastAsia="fi-FI"/>
    </w:rPr>
  </w:style>
  <w:style w:type="paragraph" w:styleId="Header">
    <w:name w:val="header"/>
    <w:basedOn w:val="Normal"/>
    <w:link w:val="HeaderChar"/>
    <w:uiPriority w:val="99"/>
    <w:unhideWhenUsed/>
    <w:rsid w:val="009D2028"/>
    <w:pPr>
      <w:tabs>
        <w:tab w:val="center" w:pos="4536"/>
        <w:tab w:val="right" w:pos="9072"/>
      </w:tabs>
    </w:pPr>
  </w:style>
  <w:style w:type="character" w:customStyle="1" w:styleId="HeaderChar">
    <w:name w:val="Header Char"/>
    <w:basedOn w:val="DefaultParagraphFont"/>
    <w:link w:val="Header"/>
    <w:uiPriority w:val="99"/>
    <w:rsid w:val="009D2028"/>
    <w:rPr>
      <w:rFonts w:eastAsiaTheme="minorEastAsia"/>
      <w:lang w:val="fi-FI" w:eastAsia="fi-FI"/>
    </w:rPr>
  </w:style>
  <w:style w:type="paragraph" w:styleId="Footer">
    <w:name w:val="footer"/>
    <w:basedOn w:val="Normal"/>
    <w:link w:val="FooterChar"/>
    <w:uiPriority w:val="99"/>
    <w:unhideWhenUsed/>
    <w:rsid w:val="009D2028"/>
    <w:pPr>
      <w:tabs>
        <w:tab w:val="center" w:pos="4536"/>
        <w:tab w:val="right" w:pos="9072"/>
      </w:tabs>
    </w:pPr>
  </w:style>
  <w:style w:type="character" w:customStyle="1" w:styleId="FooterChar">
    <w:name w:val="Footer Char"/>
    <w:basedOn w:val="DefaultParagraphFont"/>
    <w:link w:val="Footer"/>
    <w:uiPriority w:val="99"/>
    <w:rsid w:val="009D2028"/>
    <w:rPr>
      <w:rFonts w:eastAsiaTheme="minorEastAsia"/>
      <w:lang w:val="fi-FI" w:eastAsia="fi-FI"/>
    </w:rPr>
  </w:style>
  <w:style w:type="character" w:styleId="CommentReference">
    <w:name w:val="annotation reference"/>
    <w:basedOn w:val="DefaultParagraphFont"/>
    <w:uiPriority w:val="99"/>
    <w:semiHidden/>
    <w:unhideWhenUsed/>
    <w:rsid w:val="009D2028"/>
    <w:rPr>
      <w:sz w:val="16"/>
      <w:szCs w:val="16"/>
    </w:rPr>
  </w:style>
  <w:style w:type="paragraph" w:styleId="CommentText">
    <w:name w:val="annotation text"/>
    <w:basedOn w:val="Normal"/>
    <w:link w:val="CommentTextChar"/>
    <w:uiPriority w:val="99"/>
    <w:semiHidden/>
    <w:unhideWhenUsed/>
    <w:rsid w:val="009D2028"/>
    <w:rPr>
      <w:sz w:val="20"/>
      <w:szCs w:val="20"/>
    </w:rPr>
  </w:style>
  <w:style w:type="character" w:customStyle="1" w:styleId="CommentTextChar">
    <w:name w:val="Comment Text Char"/>
    <w:basedOn w:val="DefaultParagraphFont"/>
    <w:link w:val="CommentText"/>
    <w:uiPriority w:val="99"/>
    <w:semiHidden/>
    <w:rsid w:val="009D2028"/>
    <w:rPr>
      <w:rFonts w:eastAsiaTheme="minorEastAsia"/>
      <w:sz w:val="20"/>
      <w:szCs w:val="20"/>
      <w:lang w:val="fi-FI" w:eastAsia="fi-FI"/>
    </w:rPr>
  </w:style>
  <w:style w:type="paragraph" w:styleId="CommentSubject">
    <w:name w:val="annotation subject"/>
    <w:basedOn w:val="CommentText"/>
    <w:next w:val="CommentText"/>
    <w:link w:val="CommentSubjectChar"/>
    <w:uiPriority w:val="99"/>
    <w:semiHidden/>
    <w:unhideWhenUsed/>
    <w:rsid w:val="009D2028"/>
    <w:rPr>
      <w:b/>
      <w:bCs/>
    </w:rPr>
  </w:style>
  <w:style w:type="character" w:customStyle="1" w:styleId="CommentSubjectChar">
    <w:name w:val="Comment Subject Char"/>
    <w:basedOn w:val="CommentTextChar"/>
    <w:link w:val="CommentSubject"/>
    <w:uiPriority w:val="99"/>
    <w:semiHidden/>
    <w:rsid w:val="009D2028"/>
    <w:rPr>
      <w:rFonts w:eastAsiaTheme="minorEastAsia"/>
      <w:b/>
      <w:bCs/>
      <w:sz w:val="20"/>
      <w:szCs w:val="20"/>
      <w:lang w:val="fi-FI" w:eastAsia="fi-FI"/>
    </w:rPr>
  </w:style>
  <w:style w:type="paragraph" w:styleId="Revision">
    <w:name w:val="Revision"/>
    <w:hidden/>
    <w:uiPriority w:val="99"/>
    <w:semiHidden/>
    <w:rsid w:val="009D2028"/>
    <w:pPr>
      <w:spacing w:after="0" w:line="240" w:lineRule="auto"/>
    </w:pPr>
    <w:rPr>
      <w:lang w:val="fi-FI" w:eastAsia="fi-FI"/>
    </w:rPr>
  </w:style>
  <w:style w:type="character" w:customStyle="1" w:styleId="algo-summary">
    <w:name w:val="algo-summary"/>
    <w:basedOn w:val="DefaultParagraphFont"/>
    <w:rsid w:val="004D12D7"/>
  </w:style>
  <w:style w:type="paragraph" w:styleId="NormalWeb">
    <w:name w:val="Normal (Web)"/>
    <w:basedOn w:val="Normal"/>
    <w:uiPriority w:val="99"/>
    <w:unhideWhenUsed/>
    <w:rsid w:val="00BE5D2B"/>
    <w:rPr>
      <w:rFonts w:cs="Times New Roman"/>
      <w:szCs w:val="24"/>
    </w:rPr>
  </w:style>
  <w:style w:type="character" w:styleId="Strong">
    <w:name w:val="Strong"/>
    <w:basedOn w:val="DefaultParagraphFont"/>
    <w:uiPriority w:val="22"/>
    <w:qFormat/>
    <w:rsid w:val="00B071B4"/>
    <w:rPr>
      <w:b/>
      <w:bCs/>
    </w:rPr>
  </w:style>
  <w:style w:type="paragraph" w:styleId="NoSpacing">
    <w:name w:val="No Spacing"/>
    <w:uiPriority w:val="1"/>
    <w:qFormat/>
    <w:rsid w:val="00141434"/>
    <w:pPr>
      <w:spacing w:after="0" w:line="240" w:lineRule="auto"/>
    </w:pPr>
  </w:style>
  <w:style w:type="table" w:customStyle="1" w:styleId="PlainTable41">
    <w:name w:val="Plain Table 41"/>
    <w:basedOn w:val="TableNormal"/>
    <w:uiPriority w:val="44"/>
    <w:rsid w:val="00A373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4F7F8E"/>
    <w:rPr>
      <w:i/>
      <w:iCs/>
    </w:rPr>
  </w:style>
  <w:style w:type="paragraph" w:styleId="BodyText">
    <w:name w:val="Body Text"/>
    <w:basedOn w:val="Normal"/>
    <w:link w:val="BodyTextChar"/>
    <w:uiPriority w:val="99"/>
    <w:unhideWhenUsed/>
    <w:rsid w:val="00CE6FCB"/>
    <w:pPr>
      <w:spacing w:line="360" w:lineRule="auto"/>
      <w:ind w:firstLine="0"/>
    </w:pPr>
  </w:style>
  <w:style w:type="character" w:customStyle="1" w:styleId="BodyTextChar">
    <w:name w:val="Body Text Char"/>
    <w:basedOn w:val="DefaultParagraphFont"/>
    <w:link w:val="BodyText"/>
    <w:uiPriority w:val="99"/>
    <w:rsid w:val="00CE6FCB"/>
    <w:rPr>
      <w:rFonts w:ascii="Times New Roman" w:hAnsi="Times New Roman"/>
      <w:sz w:val="24"/>
    </w:rPr>
  </w:style>
  <w:style w:type="character" w:customStyle="1" w:styleId="Heading1Char">
    <w:name w:val="Heading 1 Char"/>
    <w:basedOn w:val="DefaultParagraphFont"/>
    <w:link w:val="Heading1"/>
    <w:uiPriority w:val="9"/>
    <w:rsid w:val="000C0ED2"/>
    <w:rPr>
      <w:rFonts w:ascii="Times New Roman" w:hAnsi="Times New Roman"/>
      <w:b/>
      <w:sz w:val="24"/>
    </w:rPr>
  </w:style>
  <w:style w:type="paragraph" w:styleId="BodyTextIndent">
    <w:name w:val="Body Text Indent"/>
    <w:basedOn w:val="Normal"/>
    <w:link w:val="BodyTextIndentChar"/>
    <w:uiPriority w:val="99"/>
    <w:unhideWhenUsed/>
    <w:rsid w:val="000C0ED2"/>
    <w:pPr>
      <w:spacing w:line="360" w:lineRule="auto"/>
    </w:pPr>
  </w:style>
  <w:style w:type="character" w:customStyle="1" w:styleId="BodyTextIndentChar">
    <w:name w:val="Body Text Indent Char"/>
    <w:basedOn w:val="DefaultParagraphFont"/>
    <w:link w:val="BodyTextIndent"/>
    <w:uiPriority w:val="99"/>
    <w:rsid w:val="000C0ED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462">
      <w:bodyDiv w:val="1"/>
      <w:marLeft w:val="0"/>
      <w:marRight w:val="0"/>
      <w:marTop w:val="0"/>
      <w:marBottom w:val="0"/>
      <w:divBdr>
        <w:top w:val="none" w:sz="0" w:space="0" w:color="auto"/>
        <w:left w:val="none" w:sz="0" w:space="0" w:color="auto"/>
        <w:bottom w:val="none" w:sz="0" w:space="0" w:color="auto"/>
        <w:right w:val="none" w:sz="0" w:space="0" w:color="auto"/>
      </w:divBdr>
    </w:div>
    <w:div w:id="7997866">
      <w:bodyDiv w:val="1"/>
      <w:marLeft w:val="0"/>
      <w:marRight w:val="0"/>
      <w:marTop w:val="0"/>
      <w:marBottom w:val="0"/>
      <w:divBdr>
        <w:top w:val="none" w:sz="0" w:space="0" w:color="auto"/>
        <w:left w:val="none" w:sz="0" w:space="0" w:color="auto"/>
        <w:bottom w:val="none" w:sz="0" w:space="0" w:color="auto"/>
        <w:right w:val="none" w:sz="0" w:space="0" w:color="auto"/>
      </w:divBdr>
    </w:div>
    <w:div w:id="37172038">
      <w:bodyDiv w:val="1"/>
      <w:marLeft w:val="0"/>
      <w:marRight w:val="0"/>
      <w:marTop w:val="0"/>
      <w:marBottom w:val="0"/>
      <w:divBdr>
        <w:top w:val="none" w:sz="0" w:space="0" w:color="auto"/>
        <w:left w:val="none" w:sz="0" w:space="0" w:color="auto"/>
        <w:bottom w:val="none" w:sz="0" w:space="0" w:color="auto"/>
        <w:right w:val="none" w:sz="0" w:space="0" w:color="auto"/>
      </w:divBdr>
    </w:div>
    <w:div w:id="40204489">
      <w:bodyDiv w:val="1"/>
      <w:marLeft w:val="0"/>
      <w:marRight w:val="0"/>
      <w:marTop w:val="0"/>
      <w:marBottom w:val="0"/>
      <w:divBdr>
        <w:top w:val="none" w:sz="0" w:space="0" w:color="auto"/>
        <w:left w:val="none" w:sz="0" w:space="0" w:color="auto"/>
        <w:bottom w:val="none" w:sz="0" w:space="0" w:color="auto"/>
        <w:right w:val="none" w:sz="0" w:space="0" w:color="auto"/>
      </w:divBdr>
    </w:div>
    <w:div w:id="65036707">
      <w:bodyDiv w:val="1"/>
      <w:marLeft w:val="0"/>
      <w:marRight w:val="0"/>
      <w:marTop w:val="0"/>
      <w:marBottom w:val="0"/>
      <w:divBdr>
        <w:top w:val="none" w:sz="0" w:space="0" w:color="auto"/>
        <w:left w:val="none" w:sz="0" w:space="0" w:color="auto"/>
        <w:bottom w:val="none" w:sz="0" w:space="0" w:color="auto"/>
        <w:right w:val="none" w:sz="0" w:space="0" w:color="auto"/>
      </w:divBdr>
    </w:div>
    <w:div w:id="86195949">
      <w:bodyDiv w:val="1"/>
      <w:marLeft w:val="0"/>
      <w:marRight w:val="0"/>
      <w:marTop w:val="0"/>
      <w:marBottom w:val="0"/>
      <w:divBdr>
        <w:top w:val="none" w:sz="0" w:space="0" w:color="auto"/>
        <w:left w:val="none" w:sz="0" w:space="0" w:color="auto"/>
        <w:bottom w:val="none" w:sz="0" w:space="0" w:color="auto"/>
        <w:right w:val="none" w:sz="0" w:space="0" w:color="auto"/>
      </w:divBdr>
    </w:div>
    <w:div w:id="116266190">
      <w:bodyDiv w:val="1"/>
      <w:marLeft w:val="0"/>
      <w:marRight w:val="0"/>
      <w:marTop w:val="0"/>
      <w:marBottom w:val="0"/>
      <w:divBdr>
        <w:top w:val="none" w:sz="0" w:space="0" w:color="auto"/>
        <w:left w:val="none" w:sz="0" w:space="0" w:color="auto"/>
        <w:bottom w:val="none" w:sz="0" w:space="0" w:color="auto"/>
        <w:right w:val="none" w:sz="0" w:space="0" w:color="auto"/>
      </w:divBdr>
    </w:div>
    <w:div w:id="154303449">
      <w:bodyDiv w:val="1"/>
      <w:marLeft w:val="0"/>
      <w:marRight w:val="0"/>
      <w:marTop w:val="0"/>
      <w:marBottom w:val="0"/>
      <w:divBdr>
        <w:top w:val="none" w:sz="0" w:space="0" w:color="auto"/>
        <w:left w:val="none" w:sz="0" w:space="0" w:color="auto"/>
        <w:bottom w:val="none" w:sz="0" w:space="0" w:color="auto"/>
        <w:right w:val="none" w:sz="0" w:space="0" w:color="auto"/>
      </w:divBdr>
    </w:div>
    <w:div w:id="182520213">
      <w:bodyDiv w:val="1"/>
      <w:marLeft w:val="0"/>
      <w:marRight w:val="0"/>
      <w:marTop w:val="0"/>
      <w:marBottom w:val="0"/>
      <w:divBdr>
        <w:top w:val="none" w:sz="0" w:space="0" w:color="auto"/>
        <w:left w:val="none" w:sz="0" w:space="0" w:color="auto"/>
        <w:bottom w:val="none" w:sz="0" w:space="0" w:color="auto"/>
        <w:right w:val="none" w:sz="0" w:space="0" w:color="auto"/>
      </w:divBdr>
    </w:div>
    <w:div w:id="200823622">
      <w:bodyDiv w:val="1"/>
      <w:marLeft w:val="0"/>
      <w:marRight w:val="0"/>
      <w:marTop w:val="0"/>
      <w:marBottom w:val="0"/>
      <w:divBdr>
        <w:top w:val="none" w:sz="0" w:space="0" w:color="auto"/>
        <w:left w:val="none" w:sz="0" w:space="0" w:color="auto"/>
        <w:bottom w:val="none" w:sz="0" w:space="0" w:color="auto"/>
        <w:right w:val="none" w:sz="0" w:space="0" w:color="auto"/>
      </w:divBdr>
    </w:div>
    <w:div w:id="257251514">
      <w:bodyDiv w:val="1"/>
      <w:marLeft w:val="0"/>
      <w:marRight w:val="0"/>
      <w:marTop w:val="0"/>
      <w:marBottom w:val="0"/>
      <w:divBdr>
        <w:top w:val="none" w:sz="0" w:space="0" w:color="auto"/>
        <w:left w:val="none" w:sz="0" w:space="0" w:color="auto"/>
        <w:bottom w:val="none" w:sz="0" w:space="0" w:color="auto"/>
        <w:right w:val="none" w:sz="0" w:space="0" w:color="auto"/>
      </w:divBdr>
    </w:div>
    <w:div w:id="293174351">
      <w:bodyDiv w:val="1"/>
      <w:marLeft w:val="0"/>
      <w:marRight w:val="0"/>
      <w:marTop w:val="0"/>
      <w:marBottom w:val="0"/>
      <w:divBdr>
        <w:top w:val="none" w:sz="0" w:space="0" w:color="auto"/>
        <w:left w:val="none" w:sz="0" w:space="0" w:color="auto"/>
        <w:bottom w:val="none" w:sz="0" w:space="0" w:color="auto"/>
        <w:right w:val="none" w:sz="0" w:space="0" w:color="auto"/>
      </w:divBdr>
    </w:div>
    <w:div w:id="349256054">
      <w:bodyDiv w:val="1"/>
      <w:marLeft w:val="0"/>
      <w:marRight w:val="0"/>
      <w:marTop w:val="0"/>
      <w:marBottom w:val="0"/>
      <w:divBdr>
        <w:top w:val="none" w:sz="0" w:space="0" w:color="auto"/>
        <w:left w:val="none" w:sz="0" w:space="0" w:color="auto"/>
        <w:bottom w:val="none" w:sz="0" w:space="0" w:color="auto"/>
        <w:right w:val="none" w:sz="0" w:space="0" w:color="auto"/>
      </w:divBdr>
    </w:div>
    <w:div w:id="427971265">
      <w:bodyDiv w:val="1"/>
      <w:marLeft w:val="0"/>
      <w:marRight w:val="0"/>
      <w:marTop w:val="0"/>
      <w:marBottom w:val="0"/>
      <w:divBdr>
        <w:top w:val="none" w:sz="0" w:space="0" w:color="auto"/>
        <w:left w:val="none" w:sz="0" w:space="0" w:color="auto"/>
        <w:bottom w:val="none" w:sz="0" w:space="0" w:color="auto"/>
        <w:right w:val="none" w:sz="0" w:space="0" w:color="auto"/>
      </w:divBdr>
      <w:divsChild>
        <w:div w:id="1975407956">
          <w:marLeft w:val="0"/>
          <w:marRight w:val="0"/>
          <w:marTop w:val="0"/>
          <w:marBottom w:val="0"/>
          <w:divBdr>
            <w:top w:val="none" w:sz="0" w:space="0" w:color="auto"/>
            <w:left w:val="none" w:sz="0" w:space="0" w:color="auto"/>
            <w:bottom w:val="none" w:sz="0" w:space="0" w:color="auto"/>
            <w:right w:val="none" w:sz="0" w:space="0" w:color="auto"/>
          </w:divBdr>
          <w:divsChild>
            <w:div w:id="1384989090">
              <w:marLeft w:val="0"/>
              <w:marRight w:val="0"/>
              <w:marTop w:val="0"/>
              <w:marBottom w:val="0"/>
              <w:divBdr>
                <w:top w:val="none" w:sz="0" w:space="0" w:color="auto"/>
                <w:left w:val="none" w:sz="0" w:space="0" w:color="auto"/>
                <w:bottom w:val="none" w:sz="0" w:space="0" w:color="auto"/>
                <w:right w:val="none" w:sz="0" w:space="0" w:color="auto"/>
              </w:divBdr>
              <w:divsChild>
                <w:div w:id="387194477">
                  <w:marLeft w:val="0"/>
                  <w:marRight w:val="0"/>
                  <w:marTop w:val="0"/>
                  <w:marBottom w:val="0"/>
                  <w:divBdr>
                    <w:top w:val="none" w:sz="0" w:space="0" w:color="auto"/>
                    <w:left w:val="none" w:sz="0" w:space="0" w:color="auto"/>
                    <w:bottom w:val="none" w:sz="0" w:space="0" w:color="auto"/>
                    <w:right w:val="none" w:sz="0" w:space="0" w:color="auto"/>
                  </w:divBdr>
                  <w:divsChild>
                    <w:div w:id="1211187202">
                      <w:marLeft w:val="0"/>
                      <w:marRight w:val="0"/>
                      <w:marTop w:val="0"/>
                      <w:marBottom w:val="0"/>
                      <w:divBdr>
                        <w:top w:val="none" w:sz="0" w:space="0" w:color="auto"/>
                        <w:left w:val="none" w:sz="0" w:space="0" w:color="auto"/>
                        <w:bottom w:val="none" w:sz="0" w:space="0" w:color="auto"/>
                        <w:right w:val="none" w:sz="0" w:space="0" w:color="auto"/>
                      </w:divBdr>
                      <w:divsChild>
                        <w:div w:id="2763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375862">
      <w:bodyDiv w:val="1"/>
      <w:marLeft w:val="0"/>
      <w:marRight w:val="0"/>
      <w:marTop w:val="0"/>
      <w:marBottom w:val="0"/>
      <w:divBdr>
        <w:top w:val="none" w:sz="0" w:space="0" w:color="auto"/>
        <w:left w:val="none" w:sz="0" w:space="0" w:color="auto"/>
        <w:bottom w:val="none" w:sz="0" w:space="0" w:color="auto"/>
        <w:right w:val="none" w:sz="0" w:space="0" w:color="auto"/>
      </w:divBdr>
    </w:div>
    <w:div w:id="471287540">
      <w:bodyDiv w:val="1"/>
      <w:marLeft w:val="0"/>
      <w:marRight w:val="0"/>
      <w:marTop w:val="0"/>
      <w:marBottom w:val="0"/>
      <w:divBdr>
        <w:top w:val="none" w:sz="0" w:space="0" w:color="auto"/>
        <w:left w:val="none" w:sz="0" w:space="0" w:color="auto"/>
        <w:bottom w:val="none" w:sz="0" w:space="0" w:color="auto"/>
        <w:right w:val="none" w:sz="0" w:space="0" w:color="auto"/>
      </w:divBdr>
    </w:div>
    <w:div w:id="491484102">
      <w:bodyDiv w:val="1"/>
      <w:marLeft w:val="0"/>
      <w:marRight w:val="0"/>
      <w:marTop w:val="0"/>
      <w:marBottom w:val="0"/>
      <w:divBdr>
        <w:top w:val="none" w:sz="0" w:space="0" w:color="auto"/>
        <w:left w:val="none" w:sz="0" w:space="0" w:color="auto"/>
        <w:bottom w:val="none" w:sz="0" w:space="0" w:color="auto"/>
        <w:right w:val="none" w:sz="0" w:space="0" w:color="auto"/>
      </w:divBdr>
    </w:div>
    <w:div w:id="535586178">
      <w:bodyDiv w:val="1"/>
      <w:marLeft w:val="0"/>
      <w:marRight w:val="0"/>
      <w:marTop w:val="0"/>
      <w:marBottom w:val="0"/>
      <w:divBdr>
        <w:top w:val="none" w:sz="0" w:space="0" w:color="auto"/>
        <w:left w:val="none" w:sz="0" w:space="0" w:color="auto"/>
        <w:bottom w:val="none" w:sz="0" w:space="0" w:color="auto"/>
        <w:right w:val="none" w:sz="0" w:space="0" w:color="auto"/>
      </w:divBdr>
    </w:div>
    <w:div w:id="567811400">
      <w:bodyDiv w:val="1"/>
      <w:marLeft w:val="0"/>
      <w:marRight w:val="0"/>
      <w:marTop w:val="0"/>
      <w:marBottom w:val="0"/>
      <w:divBdr>
        <w:top w:val="none" w:sz="0" w:space="0" w:color="auto"/>
        <w:left w:val="none" w:sz="0" w:space="0" w:color="auto"/>
        <w:bottom w:val="none" w:sz="0" w:space="0" w:color="auto"/>
        <w:right w:val="none" w:sz="0" w:space="0" w:color="auto"/>
      </w:divBdr>
    </w:div>
    <w:div w:id="607935121">
      <w:bodyDiv w:val="1"/>
      <w:marLeft w:val="0"/>
      <w:marRight w:val="0"/>
      <w:marTop w:val="0"/>
      <w:marBottom w:val="0"/>
      <w:divBdr>
        <w:top w:val="none" w:sz="0" w:space="0" w:color="auto"/>
        <w:left w:val="none" w:sz="0" w:space="0" w:color="auto"/>
        <w:bottom w:val="none" w:sz="0" w:space="0" w:color="auto"/>
        <w:right w:val="none" w:sz="0" w:space="0" w:color="auto"/>
      </w:divBdr>
    </w:div>
    <w:div w:id="690841901">
      <w:bodyDiv w:val="1"/>
      <w:marLeft w:val="0"/>
      <w:marRight w:val="0"/>
      <w:marTop w:val="0"/>
      <w:marBottom w:val="0"/>
      <w:divBdr>
        <w:top w:val="none" w:sz="0" w:space="0" w:color="auto"/>
        <w:left w:val="none" w:sz="0" w:space="0" w:color="auto"/>
        <w:bottom w:val="none" w:sz="0" w:space="0" w:color="auto"/>
        <w:right w:val="none" w:sz="0" w:space="0" w:color="auto"/>
      </w:divBdr>
    </w:div>
    <w:div w:id="763457115">
      <w:bodyDiv w:val="1"/>
      <w:marLeft w:val="0"/>
      <w:marRight w:val="0"/>
      <w:marTop w:val="0"/>
      <w:marBottom w:val="0"/>
      <w:divBdr>
        <w:top w:val="none" w:sz="0" w:space="0" w:color="auto"/>
        <w:left w:val="none" w:sz="0" w:space="0" w:color="auto"/>
        <w:bottom w:val="none" w:sz="0" w:space="0" w:color="auto"/>
        <w:right w:val="none" w:sz="0" w:space="0" w:color="auto"/>
      </w:divBdr>
    </w:div>
    <w:div w:id="801651412">
      <w:bodyDiv w:val="1"/>
      <w:marLeft w:val="0"/>
      <w:marRight w:val="0"/>
      <w:marTop w:val="0"/>
      <w:marBottom w:val="0"/>
      <w:divBdr>
        <w:top w:val="none" w:sz="0" w:space="0" w:color="auto"/>
        <w:left w:val="none" w:sz="0" w:space="0" w:color="auto"/>
        <w:bottom w:val="none" w:sz="0" w:space="0" w:color="auto"/>
        <w:right w:val="none" w:sz="0" w:space="0" w:color="auto"/>
      </w:divBdr>
    </w:div>
    <w:div w:id="818881484">
      <w:bodyDiv w:val="1"/>
      <w:marLeft w:val="0"/>
      <w:marRight w:val="0"/>
      <w:marTop w:val="0"/>
      <w:marBottom w:val="0"/>
      <w:divBdr>
        <w:top w:val="none" w:sz="0" w:space="0" w:color="auto"/>
        <w:left w:val="none" w:sz="0" w:space="0" w:color="auto"/>
        <w:bottom w:val="none" w:sz="0" w:space="0" w:color="auto"/>
        <w:right w:val="none" w:sz="0" w:space="0" w:color="auto"/>
      </w:divBdr>
    </w:div>
    <w:div w:id="908156199">
      <w:bodyDiv w:val="1"/>
      <w:marLeft w:val="0"/>
      <w:marRight w:val="0"/>
      <w:marTop w:val="0"/>
      <w:marBottom w:val="0"/>
      <w:divBdr>
        <w:top w:val="none" w:sz="0" w:space="0" w:color="auto"/>
        <w:left w:val="none" w:sz="0" w:space="0" w:color="auto"/>
        <w:bottom w:val="none" w:sz="0" w:space="0" w:color="auto"/>
        <w:right w:val="none" w:sz="0" w:space="0" w:color="auto"/>
      </w:divBdr>
    </w:div>
    <w:div w:id="908345682">
      <w:bodyDiv w:val="1"/>
      <w:marLeft w:val="0"/>
      <w:marRight w:val="0"/>
      <w:marTop w:val="0"/>
      <w:marBottom w:val="0"/>
      <w:divBdr>
        <w:top w:val="none" w:sz="0" w:space="0" w:color="auto"/>
        <w:left w:val="none" w:sz="0" w:space="0" w:color="auto"/>
        <w:bottom w:val="none" w:sz="0" w:space="0" w:color="auto"/>
        <w:right w:val="none" w:sz="0" w:space="0" w:color="auto"/>
      </w:divBdr>
    </w:div>
    <w:div w:id="919800078">
      <w:bodyDiv w:val="1"/>
      <w:marLeft w:val="0"/>
      <w:marRight w:val="0"/>
      <w:marTop w:val="0"/>
      <w:marBottom w:val="0"/>
      <w:divBdr>
        <w:top w:val="none" w:sz="0" w:space="0" w:color="auto"/>
        <w:left w:val="none" w:sz="0" w:space="0" w:color="auto"/>
        <w:bottom w:val="none" w:sz="0" w:space="0" w:color="auto"/>
        <w:right w:val="none" w:sz="0" w:space="0" w:color="auto"/>
      </w:divBdr>
    </w:div>
    <w:div w:id="957837711">
      <w:bodyDiv w:val="1"/>
      <w:marLeft w:val="0"/>
      <w:marRight w:val="0"/>
      <w:marTop w:val="0"/>
      <w:marBottom w:val="0"/>
      <w:divBdr>
        <w:top w:val="none" w:sz="0" w:space="0" w:color="auto"/>
        <w:left w:val="none" w:sz="0" w:space="0" w:color="auto"/>
        <w:bottom w:val="none" w:sz="0" w:space="0" w:color="auto"/>
        <w:right w:val="none" w:sz="0" w:space="0" w:color="auto"/>
      </w:divBdr>
    </w:div>
    <w:div w:id="970524529">
      <w:bodyDiv w:val="1"/>
      <w:marLeft w:val="0"/>
      <w:marRight w:val="0"/>
      <w:marTop w:val="0"/>
      <w:marBottom w:val="0"/>
      <w:divBdr>
        <w:top w:val="none" w:sz="0" w:space="0" w:color="auto"/>
        <w:left w:val="none" w:sz="0" w:space="0" w:color="auto"/>
        <w:bottom w:val="none" w:sz="0" w:space="0" w:color="auto"/>
        <w:right w:val="none" w:sz="0" w:space="0" w:color="auto"/>
      </w:divBdr>
    </w:div>
    <w:div w:id="976957253">
      <w:bodyDiv w:val="1"/>
      <w:marLeft w:val="0"/>
      <w:marRight w:val="0"/>
      <w:marTop w:val="0"/>
      <w:marBottom w:val="0"/>
      <w:divBdr>
        <w:top w:val="none" w:sz="0" w:space="0" w:color="auto"/>
        <w:left w:val="none" w:sz="0" w:space="0" w:color="auto"/>
        <w:bottom w:val="none" w:sz="0" w:space="0" w:color="auto"/>
        <w:right w:val="none" w:sz="0" w:space="0" w:color="auto"/>
      </w:divBdr>
    </w:div>
    <w:div w:id="1009330302">
      <w:bodyDiv w:val="1"/>
      <w:marLeft w:val="0"/>
      <w:marRight w:val="0"/>
      <w:marTop w:val="0"/>
      <w:marBottom w:val="0"/>
      <w:divBdr>
        <w:top w:val="none" w:sz="0" w:space="0" w:color="auto"/>
        <w:left w:val="none" w:sz="0" w:space="0" w:color="auto"/>
        <w:bottom w:val="none" w:sz="0" w:space="0" w:color="auto"/>
        <w:right w:val="none" w:sz="0" w:space="0" w:color="auto"/>
      </w:divBdr>
    </w:div>
    <w:div w:id="1060203214">
      <w:bodyDiv w:val="1"/>
      <w:marLeft w:val="0"/>
      <w:marRight w:val="0"/>
      <w:marTop w:val="0"/>
      <w:marBottom w:val="0"/>
      <w:divBdr>
        <w:top w:val="none" w:sz="0" w:space="0" w:color="auto"/>
        <w:left w:val="none" w:sz="0" w:space="0" w:color="auto"/>
        <w:bottom w:val="none" w:sz="0" w:space="0" w:color="auto"/>
        <w:right w:val="none" w:sz="0" w:space="0" w:color="auto"/>
      </w:divBdr>
    </w:div>
    <w:div w:id="1076130400">
      <w:bodyDiv w:val="1"/>
      <w:marLeft w:val="0"/>
      <w:marRight w:val="0"/>
      <w:marTop w:val="0"/>
      <w:marBottom w:val="0"/>
      <w:divBdr>
        <w:top w:val="none" w:sz="0" w:space="0" w:color="auto"/>
        <w:left w:val="none" w:sz="0" w:space="0" w:color="auto"/>
        <w:bottom w:val="none" w:sz="0" w:space="0" w:color="auto"/>
        <w:right w:val="none" w:sz="0" w:space="0" w:color="auto"/>
      </w:divBdr>
    </w:div>
    <w:div w:id="1128279522">
      <w:bodyDiv w:val="1"/>
      <w:marLeft w:val="0"/>
      <w:marRight w:val="0"/>
      <w:marTop w:val="0"/>
      <w:marBottom w:val="0"/>
      <w:divBdr>
        <w:top w:val="none" w:sz="0" w:space="0" w:color="auto"/>
        <w:left w:val="none" w:sz="0" w:space="0" w:color="auto"/>
        <w:bottom w:val="none" w:sz="0" w:space="0" w:color="auto"/>
        <w:right w:val="none" w:sz="0" w:space="0" w:color="auto"/>
      </w:divBdr>
    </w:div>
    <w:div w:id="1171141195">
      <w:bodyDiv w:val="1"/>
      <w:marLeft w:val="0"/>
      <w:marRight w:val="0"/>
      <w:marTop w:val="0"/>
      <w:marBottom w:val="0"/>
      <w:divBdr>
        <w:top w:val="none" w:sz="0" w:space="0" w:color="auto"/>
        <w:left w:val="none" w:sz="0" w:space="0" w:color="auto"/>
        <w:bottom w:val="none" w:sz="0" w:space="0" w:color="auto"/>
        <w:right w:val="none" w:sz="0" w:space="0" w:color="auto"/>
      </w:divBdr>
    </w:div>
    <w:div w:id="1198543698">
      <w:bodyDiv w:val="1"/>
      <w:marLeft w:val="0"/>
      <w:marRight w:val="0"/>
      <w:marTop w:val="0"/>
      <w:marBottom w:val="0"/>
      <w:divBdr>
        <w:top w:val="none" w:sz="0" w:space="0" w:color="auto"/>
        <w:left w:val="none" w:sz="0" w:space="0" w:color="auto"/>
        <w:bottom w:val="none" w:sz="0" w:space="0" w:color="auto"/>
        <w:right w:val="none" w:sz="0" w:space="0" w:color="auto"/>
      </w:divBdr>
      <w:divsChild>
        <w:div w:id="695426887">
          <w:marLeft w:val="0"/>
          <w:marRight w:val="0"/>
          <w:marTop w:val="0"/>
          <w:marBottom w:val="0"/>
          <w:divBdr>
            <w:top w:val="none" w:sz="0" w:space="0" w:color="auto"/>
            <w:left w:val="none" w:sz="0" w:space="0" w:color="auto"/>
            <w:bottom w:val="none" w:sz="0" w:space="0" w:color="auto"/>
            <w:right w:val="none" w:sz="0" w:space="0" w:color="auto"/>
          </w:divBdr>
          <w:divsChild>
            <w:div w:id="634216903">
              <w:marLeft w:val="0"/>
              <w:marRight w:val="0"/>
              <w:marTop w:val="0"/>
              <w:marBottom w:val="0"/>
              <w:divBdr>
                <w:top w:val="none" w:sz="0" w:space="0" w:color="auto"/>
                <w:left w:val="none" w:sz="0" w:space="0" w:color="auto"/>
                <w:bottom w:val="none" w:sz="0" w:space="0" w:color="auto"/>
                <w:right w:val="none" w:sz="0" w:space="0" w:color="auto"/>
              </w:divBdr>
              <w:divsChild>
                <w:div w:id="1062413542">
                  <w:marLeft w:val="0"/>
                  <w:marRight w:val="0"/>
                  <w:marTop w:val="0"/>
                  <w:marBottom w:val="0"/>
                  <w:divBdr>
                    <w:top w:val="none" w:sz="0" w:space="0" w:color="auto"/>
                    <w:left w:val="none" w:sz="0" w:space="0" w:color="auto"/>
                    <w:bottom w:val="none" w:sz="0" w:space="0" w:color="auto"/>
                    <w:right w:val="none" w:sz="0" w:space="0" w:color="auto"/>
                  </w:divBdr>
                  <w:divsChild>
                    <w:div w:id="1473399461">
                      <w:marLeft w:val="0"/>
                      <w:marRight w:val="0"/>
                      <w:marTop w:val="0"/>
                      <w:marBottom w:val="0"/>
                      <w:divBdr>
                        <w:top w:val="none" w:sz="0" w:space="0" w:color="auto"/>
                        <w:left w:val="none" w:sz="0" w:space="0" w:color="auto"/>
                        <w:bottom w:val="none" w:sz="0" w:space="0" w:color="auto"/>
                        <w:right w:val="none" w:sz="0" w:space="0" w:color="auto"/>
                      </w:divBdr>
                      <w:divsChild>
                        <w:div w:id="875846645">
                          <w:marLeft w:val="0"/>
                          <w:marRight w:val="0"/>
                          <w:marTop w:val="0"/>
                          <w:marBottom w:val="0"/>
                          <w:divBdr>
                            <w:top w:val="none" w:sz="0" w:space="0" w:color="auto"/>
                            <w:left w:val="none" w:sz="0" w:space="0" w:color="auto"/>
                            <w:bottom w:val="none" w:sz="0" w:space="0" w:color="auto"/>
                            <w:right w:val="none" w:sz="0" w:space="0" w:color="auto"/>
                          </w:divBdr>
                          <w:divsChild>
                            <w:div w:id="1551073110">
                              <w:blockQuote w:val="1"/>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48167">
      <w:bodyDiv w:val="1"/>
      <w:marLeft w:val="0"/>
      <w:marRight w:val="0"/>
      <w:marTop w:val="0"/>
      <w:marBottom w:val="0"/>
      <w:divBdr>
        <w:top w:val="none" w:sz="0" w:space="0" w:color="auto"/>
        <w:left w:val="none" w:sz="0" w:space="0" w:color="auto"/>
        <w:bottom w:val="none" w:sz="0" w:space="0" w:color="auto"/>
        <w:right w:val="none" w:sz="0" w:space="0" w:color="auto"/>
      </w:divBdr>
    </w:div>
    <w:div w:id="1272201067">
      <w:bodyDiv w:val="1"/>
      <w:marLeft w:val="0"/>
      <w:marRight w:val="0"/>
      <w:marTop w:val="0"/>
      <w:marBottom w:val="0"/>
      <w:divBdr>
        <w:top w:val="none" w:sz="0" w:space="0" w:color="auto"/>
        <w:left w:val="none" w:sz="0" w:space="0" w:color="auto"/>
        <w:bottom w:val="none" w:sz="0" w:space="0" w:color="auto"/>
        <w:right w:val="none" w:sz="0" w:space="0" w:color="auto"/>
      </w:divBdr>
    </w:div>
    <w:div w:id="1355230329">
      <w:bodyDiv w:val="1"/>
      <w:marLeft w:val="0"/>
      <w:marRight w:val="0"/>
      <w:marTop w:val="0"/>
      <w:marBottom w:val="0"/>
      <w:divBdr>
        <w:top w:val="none" w:sz="0" w:space="0" w:color="auto"/>
        <w:left w:val="none" w:sz="0" w:space="0" w:color="auto"/>
        <w:bottom w:val="none" w:sz="0" w:space="0" w:color="auto"/>
        <w:right w:val="none" w:sz="0" w:space="0" w:color="auto"/>
      </w:divBdr>
    </w:div>
    <w:div w:id="1383868195">
      <w:bodyDiv w:val="1"/>
      <w:marLeft w:val="0"/>
      <w:marRight w:val="0"/>
      <w:marTop w:val="0"/>
      <w:marBottom w:val="0"/>
      <w:divBdr>
        <w:top w:val="none" w:sz="0" w:space="0" w:color="auto"/>
        <w:left w:val="none" w:sz="0" w:space="0" w:color="auto"/>
        <w:bottom w:val="none" w:sz="0" w:space="0" w:color="auto"/>
        <w:right w:val="none" w:sz="0" w:space="0" w:color="auto"/>
      </w:divBdr>
    </w:div>
    <w:div w:id="1478259231">
      <w:bodyDiv w:val="1"/>
      <w:marLeft w:val="0"/>
      <w:marRight w:val="0"/>
      <w:marTop w:val="0"/>
      <w:marBottom w:val="0"/>
      <w:divBdr>
        <w:top w:val="none" w:sz="0" w:space="0" w:color="auto"/>
        <w:left w:val="none" w:sz="0" w:space="0" w:color="auto"/>
        <w:bottom w:val="none" w:sz="0" w:space="0" w:color="auto"/>
        <w:right w:val="none" w:sz="0" w:space="0" w:color="auto"/>
      </w:divBdr>
    </w:div>
    <w:div w:id="1490289153">
      <w:bodyDiv w:val="1"/>
      <w:marLeft w:val="0"/>
      <w:marRight w:val="0"/>
      <w:marTop w:val="0"/>
      <w:marBottom w:val="0"/>
      <w:divBdr>
        <w:top w:val="none" w:sz="0" w:space="0" w:color="auto"/>
        <w:left w:val="none" w:sz="0" w:space="0" w:color="auto"/>
        <w:bottom w:val="none" w:sz="0" w:space="0" w:color="auto"/>
        <w:right w:val="none" w:sz="0" w:space="0" w:color="auto"/>
      </w:divBdr>
    </w:div>
    <w:div w:id="1517041767">
      <w:bodyDiv w:val="1"/>
      <w:marLeft w:val="0"/>
      <w:marRight w:val="0"/>
      <w:marTop w:val="0"/>
      <w:marBottom w:val="0"/>
      <w:divBdr>
        <w:top w:val="none" w:sz="0" w:space="0" w:color="auto"/>
        <w:left w:val="none" w:sz="0" w:space="0" w:color="auto"/>
        <w:bottom w:val="none" w:sz="0" w:space="0" w:color="auto"/>
        <w:right w:val="none" w:sz="0" w:space="0" w:color="auto"/>
      </w:divBdr>
    </w:div>
    <w:div w:id="1587881414">
      <w:bodyDiv w:val="1"/>
      <w:marLeft w:val="0"/>
      <w:marRight w:val="0"/>
      <w:marTop w:val="0"/>
      <w:marBottom w:val="0"/>
      <w:divBdr>
        <w:top w:val="none" w:sz="0" w:space="0" w:color="auto"/>
        <w:left w:val="none" w:sz="0" w:space="0" w:color="auto"/>
        <w:bottom w:val="none" w:sz="0" w:space="0" w:color="auto"/>
        <w:right w:val="none" w:sz="0" w:space="0" w:color="auto"/>
      </w:divBdr>
    </w:div>
    <w:div w:id="1657224478">
      <w:bodyDiv w:val="1"/>
      <w:marLeft w:val="0"/>
      <w:marRight w:val="0"/>
      <w:marTop w:val="0"/>
      <w:marBottom w:val="0"/>
      <w:divBdr>
        <w:top w:val="none" w:sz="0" w:space="0" w:color="auto"/>
        <w:left w:val="none" w:sz="0" w:space="0" w:color="auto"/>
        <w:bottom w:val="none" w:sz="0" w:space="0" w:color="auto"/>
        <w:right w:val="none" w:sz="0" w:space="0" w:color="auto"/>
      </w:divBdr>
    </w:div>
    <w:div w:id="1687977264">
      <w:bodyDiv w:val="1"/>
      <w:marLeft w:val="0"/>
      <w:marRight w:val="0"/>
      <w:marTop w:val="0"/>
      <w:marBottom w:val="0"/>
      <w:divBdr>
        <w:top w:val="none" w:sz="0" w:space="0" w:color="auto"/>
        <w:left w:val="none" w:sz="0" w:space="0" w:color="auto"/>
        <w:bottom w:val="none" w:sz="0" w:space="0" w:color="auto"/>
        <w:right w:val="none" w:sz="0" w:space="0" w:color="auto"/>
      </w:divBdr>
    </w:div>
    <w:div w:id="1744526210">
      <w:bodyDiv w:val="1"/>
      <w:marLeft w:val="0"/>
      <w:marRight w:val="0"/>
      <w:marTop w:val="0"/>
      <w:marBottom w:val="0"/>
      <w:divBdr>
        <w:top w:val="none" w:sz="0" w:space="0" w:color="auto"/>
        <w:left w:val="none" w:sz="0" w:space="0" w:color="auto"/>
        <w:bottom w:val="none" w:sz="0" w:space="0" w:color="auto"/>
        <w:right w:val="none" w:sz="0" w:space="0" w:color="auto"/>
      </w:divBdr>
      <w:divsChild>
        <w:div w:id="2069911327">
          <w:marLeft w:val="0"/>
          <w:marRight w:val="0"/>
          <w:marTop w:val="0"/>
          <w:marBottom w:val="0"/>
          <w:divBdr>
            <w:top w:val="none" w:sz="0" w:space="0" w:color="auto"/>
            <w:left w:val="none" w:sz="0" w:space="0" w:color="auto"/>
            <w:bottom w:val="none" w:sz="0" w:space="0" w:color="auto"/>
            <w:right w:val="none" w:sz="0" w:space="0" w:color="auto"/>
          </w:divBdr>
          <w:divsChild>
            <w:div w:id="1982811138">
              <w:marLeft w:val="0"/>
              <w:marRight w:val="0"/>
              <w:marTop w:val="0"/>
              <w:marBottom w:val="0"/>
              <w:divBdr>
                <w:top w:val="none" w:sz="0" w:space="0" w:color="auto"/>
                <w:left w:val="none" w:sz="0" w:space="0" w:color="auto"/>
                <w:bottom w:val="none" w:sz="0" w:space="0" w:color="auto"/>
                <w:right w:val="none" w:sz="0" w:space="0" w:color="auto"/>
              </w:divBdr>
              <w:divsChild>
                <w:div w:id="1058940336">
                  <w:marLeft w:val="0"/>
                  <w:marRight w:val="0"/>
                  <w:marTop w:val="0"/>
                  <w:marBottom w:val="0"/>
                  <w:divBdr>
                    <w:top w:val="none" w:sz="0" w:space="0" w:color="auto"/>
                    <w:left w:val="none" w:sz="0" w:space="0" w:color="auto"/>
                    <w:bottom w:val="none" w:sz="0" w:space="0" w:color="auto"/>
                    <w:right w:val="none" w:sz="0" w:space="0" w:color="auto"/>
                  </w:divBdr>
                  <w:divsChild>
                    <w:div w:id="1814827991">
                      <w:marLeft w:val="0"/>
                      <w:marRight w:val="0"/>
                      <w:marTop w:val="0"/>
                      <w:marBottom w:val="0"/>
                      <w:divBdr>
                        <w:top w:val="none" w:sz="0" w:space="0" w:color="auto"/>
                        <w:left w:val="none" w:sz="0" w:space="0" w:color="auto"/>
                        <w:bottom w:val="none" w:sz="0" w:space="0" w:color="auto"/>
                        <w:right w:val="none" w:sz="0" w:space="0" w:color="auto"/>
                      </w:divBdr>
                      <w:divsChild>
                        <w:div w:id="16449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71380">
      <w:bodyDiv w:val="1"/>
      <w:marLeft w:val="0"/>
      <w:marRight w:val="0"/>
      <w:marTop w:val="0"/>
      <w:marBottom w:val="0"/>
      <w:divBdr>
        <w:top w:val="none" w:sz="0" w:space="0" w:color="auto"/>
        <w:left w:val="none" w:sz="0" w:space="0" w:color="auto"/>
        <w:bottom w:val="none" w:sz="0" w:space="0" w:color="auto"/>
        <w:right w:val="none" w:sz="0" w:space="0" w:color="auto"/>
      </w:divBdr>
    </w:div>
    <w:div w:id="1750540283">
      <w:bodyDiv w:val="1"/>
      <w:marLeft w:val="0"/>
      <w:marRight w:val="0"/>
      <w:marTop w:val="0"/>
      <w:marBottom w:val="0"/>
      <w:divBdr>
        <w:top w:val="none" w:sz="0" w:space="0" w:color="auto"/>
        <w:left w:val="none" w:sz="0" w:space="0" w:color="auto"/>
        <w:bottom w:val="none" w:sz="0" w:space="0" w:color="auto"/>
        <w:right w:val="none" w:sz="0" w:space="0" w:color="auto"/>
      </w:divBdr>
    </w:div>
    <w:div w:id="1775637577">
      <w:bodyDiv w:val="1"/>
      <w:marLeft w:val="0"/>
      <w:marRight w:val="0"/>
      <w:marTop w:val="0"/>
      <w:marBottom w:val="0"/>
      <w:divBdr>
        <w:top w:val="none" w:sz="0" w:space="0" w:color="auto"/>
        <w:left w:val="none" w:sz="0" w:space="0" w:color="auto"/>
        <w:bottom w:val="none" w:sz="0" w:space="0" w:color="auto"/>
        <w:right w:val="none" w:sz="0" w:space="0" w:color="auto"/>
      </w:divBdr>
    </w:div>
    <w:div w:id="1851220456">
      <w:bodyDiv w:val="1"/>
      <w:marLeft w:val="0"/>
      <w:marRight w:val="0"/>
      <w:marTop w:val="0"/>
      <w:marBottom w:val="0"/>
      <w:divBdr>
        <w:top w:val="none" w:sz="0" w:space="0" w:color="auto"/>
        <w:left w:val="none" w:sz="0" w:space="0" w:color="auto"/>
        <w:bottom w:val="none" w:sz="0" w:space="0" w:color="auto"/>
        <w:right w:val="none" w:sz="0" w:space="0" w:color="auto"/>
      </w:divBdr>
    </w:div>
    <w:div w:id="1853951566">
      <w:bodyDiv w:val="1"/>
      <w:marLeft w:val="0"/>
      <w:marRight w:val="0"/>
      <w:marTop w:val="0"/>
      <w:marBottom w:val="0"/>
      <w:divBdr>
        <w:top w:val="none" w:sz="0" w:space="0" w:color="auto"/>
        <w:left w:val="none" w:sz="0" w:space="0" w:color="auto"/>
        <w:bottom w:val="none" w:sz="0" w:space="0" w:color="auto"/>
        <w:right w:val="none" w:sz="0" w:space="0" w:color="auto"/>
      </w:divBdr>
    </w:div>
    <w:div w:id="1859654991">
      <w:bodyDiv w:val="1"/>
      <w:marLeft w:val="0"/>
      <w:marRight w:val="0"/>
      <w:marTop w:val="0"/>
      <w:marBottom w:val="0"/>
      <w:divBdr>
        <w:top w:val="none" w:sz="0" w:space="0" w:color="auto"/>
        <w:left w:val="none" w:sz="0" w:space="0" w:color="auto"/>
        <w:bottom w:val="none" w:sz="0" w:space="0" w:color="auto"/>
        <w:right w:val="none" w:sz="0" w:space="0" w:color="auto"/>
      </w:divBdr>
    </w:div>
    <w:div w:id="1860387160">
      <w:bodyDiv w:val="1"/>
      <w:marLeft w:val="0"/>
      <w:marRight w:val="0"/>
      <w:marTop w:val="0"/>
      <w:marBottom w:val="0"/>
      <w:divBdr>
        <w:top w:val="none" w:sz="0" w:space="0" w:color="auto"/>
        <w:left w:val="none" w:sz="0" w:space="0" w:color="auto"/>
        <w:bottom w:val="none" w:sz="0" w:space="0" w:color="auto"/>
        <w:right w:val="none" w:sz="0" w:space="0" w:color="auto"/>
      </w:divBdr>
    </w:div>
    <w:div w:id="1898513297">
      <w:bodyDiv w:val="1"/>
      <w:marLeft w:val="0"/>
      <w:marRight w:val="0"/>
      <w:marTop w:val="0"/>
      <w:marBottom w:val="0"/>
      <w:divBdr>
        <w:top w:val="none" w:sz="0" w:space="0" w:color="auto"/>
        <w:left w:val="none" w:sz="0" w:space="0" w:color="auto"/>
        <w:bottom w:val="none" w:sz="0" w:space="0" w:color="auto"/>
        <w:right w:val="none" w:sz="0" w:space="0" w:color="auto"/>
      </w:divBdr>
    </w:div>
    <w:div w:id="1925257219">
      <w:bodyDiv w:val="1"/>
      <w:marLeft w:val="0"/>
      <w:marRight w:val="0"/>
      <w:marTop w:val="0"/>
      <w:marBottom w:val="0"/>
      <w:divBdr>
        <w:top w:val="none" w:sz="0" w:space="0" w:color="auto"/>
        <w:left w:val="none" w:sz="0" w:space="0" w:color="auto"/>
        <w:bottom w:val="none" w:sz="0" w:space="0" w:color="auto"/>
        <w:right w:val="none" w:sz="0" w:space="0" w:color="auto"/>
      </w:divBdr>
    </w:div>
    <w:div w:id="1952125882">
      <w:bodyDiv w:val="1"/>
      <w:marLeft w:val="0"/>
      <w:marRight w:val="0"/>
      <w:marTop w:val="0"/>
      <w:marBottom w:val="0"/>
      <w:divBdr>
        <w:top w:val="none" w:sz="0" w:space="0" w:color="auto"/>
        <w:left w:val="none" w:sz="0" w:space="0" w:color="auto"/>
        <w:bottom w:val="none" w:sz="0" w:space="0" w:color="auto"/>
        <w:right w:val="none" w:sz="0" w:space="0" w:color="auto"/>
      </w:divBdr>
    </w:div>
    <w:div w:id="1970083901">
      <w:bodyDiv w:val="1"/>
      <w:marLeft w:val="0"/>
      <w:marRight w:val="0"/>
      <w:marTop w:val="0"/>
      <w:marBottom w:val="0"/>
      <w:divBdr>
        <w:top w:val="none" w:sz="0" w:space="0" w:color="auto"/>
        <w:left w:val="none" w:sz="0" w:space="0" w:color="auto"/>
        <w:bottom w:val="none" w:sz="0" w:space="0" w:color="auto"/>
        <w:right w:val="none" w:sz="0" w:space="0" w:color="auto"/>
      </w:divBdr>
    </w:div>
    <w:div w:id="1973561481">
      <w:bodyDiv w:val="1"/>
      <w:marLeft w:val="0"/>
      <w:marRight w:val="0"/>
      <w:marTop w:val="0"/>
      <w:marBottom w:val="0"/>
      <w:divBdr>
        <w:top w:val="none" w:sz="0" w:space="0" w:color="auto"/>
        <w:left w:val="none" w:sz="0" w:space="0" w:color="auto"/>
        <w:bottom w:val="none" w:sz="0" w:space="0" w:color="auto"/>
        <w:right w:val="none" w:sz="0" w:space="0" w:color="auto"/>
      </w:divBdr>
    </w:div>
    <w:div w:id="2008559497">
      <w:bodyDiv w:val="1"/>
      <w:marLeft w:val="0"/>
      <w:marRight w:val="0"/>
      <w:marTop w:val="0"/>
      <w:marBottom w:val="0"/>
      <w:divBdr>
        <w:top w:val="none" w:sz="0" w:space="0" w:color="auto"/>
        <w:left w:val="none" w:sz="0" w:space="0" w:color="auto"/>
        <w:bottom w:val="none" w:sz="0" w:space="0" w:color="auto"/>
        <w:right w:val="none" w:sz="0" w:space="0" w:color="auto"/>
      </w:divBdr>
    </w:div>
    <w:div w:id="2112620505">
      <w:bodyDiv w:val="1"/>
      <w:marLeft w:val="0"/>
      <w:marRight w:val="0"/>
      <w:marTop w:val="0"/>
      <w:marBottom w:val="0"/>
      <w:divBdr>
        <w:top w:val="none" w:sz="0" w:space="0" w:color="auto"/>
        <w:left w:val="none" w:sz="0" w:space="0" w:color="auto"/>
        <w:bottom w:val="none" w:sz="0" w:space="0" w:color="auto"/>
        <w:right w:val="none" w:sz="0" w:space="0" w:color="auto"/>
      </w:divBdr>
    </w:div>
    <w:div w:id="2125029700">
      <w:bodyDiv w:val="1"/>
      <w:marLeft w:val="0"/>
      <w:marRight w:val="0"/>
      <w:marTop w:val="0"/>
      <w:marBottom w:val="0"/>
      <w:divBdr>
        <w:top w:val="none" w:sz="0" w:space="0" w:color="auto"/>
        <w:left w:val="none" w:sz="0" w:space="0" w:color="auto"/>
        <w:bottom w:val="none" w:sz="0" w:space="0" w:color="auto"/>
        <w:right w:val="none" w:sz="0" w:space="0" w:color="auto"/>
      </w:divBdr>
    </w:div>
    <w:div w:id="2141915314">
      <w:bodyDiv w:val="1"/>
      <w:marLeft w:val="0"/>
      <w:marRight w:val="0"/>
      <w:marTop w:val="0"/>
      <w:marBottom w:val="0"/>
      <w:divBdr>
        <w:top w:val="none" w:sz="0" w:space="0" w:color="auto"/>
        <w:left w:val="none" w:sz="0" w:space="0" w:color="auto"/>
        <w:bottom w:val="none" w:sz="0" w:space="0" w:color="auto"/>
        <w:right w:val="none" w:sz="0" w:space="0" w:color="auto"/>
      </w:divBdr>
    </w:div>
    <w:div w:id="21460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h.fi/download/146428_Finnish_Education_in_a_Nutshel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fi/til/erop/index_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ecd.org/pisa/keyfindings/pisa-2012-results-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na\Documents\Figure%201%20Artikkeli%20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ina\Documents\Figure1,Figure2.21.3.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Sheet1!$B$1</c:f>
              <c:strCache>
                <c:ptCount val="1"/>
                <c:pt idx="0">
                  <c:v>Positive school experiences</c:v>
                </c:pt>
              </c:strCache>
            </c:strRef>
          </c:tx>
          <c:cat>
            <c:strRef>
              <c:f>Sheet1!$A$2:$A$7</c:f>
              <c:strCache>
                <c:ptCount val="6"/>
                <c:pt idx="0">
                  <c:v>Grade 1</c:v>
                </c:pt>
                <c:pt idx="1">
                  <c:v>Grade 2</c:v>
                </c:pt>
                <c:pt idx="2">
                  <c:v>Grade 3</c:v>
                </c:pt>
                <c:pt idx="3">
                  <c:v>Grade 4</c:v>
                </c:pt>
                <c:pt idx="4">
                  <c:v>Grade 5</c:v>
                </c:pt>
                <c:pt idx="5">
                  <c:v>Grade 6</c:v>
                </c:pt>
              </c:strCache>
            </c:strRef>
          </c:cat>
          <c:val>
            <c:numRef>
              <c:f>Sheet1!$B$2:$B$7</c:f>
              <c:numCache>
                <c:formatCode>General</c:formatCode>
                <c:ptCount val="6"/>
                <c:pt idx="0">
                  <c:v>44</c:v>
                </c:pt>
                <c:pt idx="1">
                  <c:v>41</c:v>
                </c:pt>
                <c:pt idx="2">
                  <c:v>47</c:v>
                </c:pt>
                <c:pt idx="3">
                  <c:v>39</c:v>
                </c:pt>
                <c:pt idx="4">
                  <c:v>43</c:v>
                </c:pt>
                <c:pt idx="5">
                  <c:v>83</c:v>
                </c:pt>
              </c:numCache>
            </c:numRef>
          </c:val>
          <c:smooth val="0"/>
          <c:extLst xmlns:c16r2="http://schemas.microsoft.com/office/drawing/2015/06/chart">
            <c:ext xmlns:c16="http://schemas.microsoft.com/office/drawing/2014/chart" uri="{C3380CC4-5D6E-409C-BE32-E72D297353CC}">
              <c16:uniqueId val="{00000000-19F9-41B1-ADDD-D78A37300454}"/>
            </c:ext>
          </c:extLst>
        </c:ser>
        <c:ser>
          <c:idx val="1"/>
          <c:order val="1"/>
          <c:tx>
            <c:strRef>
              <c:f>Sheet1!$C$1</c:f>
              <c:strCache>
                <c:ptCount val="1"/>
                <c:pt idx="0">
                  <c:v>Negative school experiences</c:v>
                </c:pt>
              </c:strCache>
            </c:strRef>
          </c:tx>
          <c:cat>
            <c:strRef>
              <c:f>Sheet1!$A$2:$A$7</c:f>
              <c:strCache>
                <c:ptCount val="6"/>
                <c:pt idx="0">
                  <c:v>Grade 1</c:v>
                </c:pt>
                <c:pt idx="1">
                  <c:v>Grade 2</c:v>
                </c:pt>
                <c:pt idx="2">
                  <c:v>Grade 3</c:v>
                </c:pt>
                <c:pt idx="3">
                  <c:v>Grade 4</c:v>
                </c:pt>
                <c:pt idx="4">
                  <c:v>Grade 5</c:v>
                </c:pt>
                <c:pt idx="5">
                  <c:v>Grade 6</c:v>
                </c:pt>
              </c:strCache>
            </c:strRef>
          </c:cat>
          <c:val>
            <c:numRef>
              <c:f>Sheet1!$C$2:$C$7</c:f>
              <c:numCache>
                <c:formatCode>General</c:formatCode>
                <c:ptCount val="6"/>
                <c:pt idx="0">
                  <c:v>14</c:v>
                </c:pt>
                <c:pt idx="1">
                  <c:v>19</c:v>
                </c:pt>
                <c:pt idx="2">
                  <c:v>21</c:v>
                </c:pt>
                <c:pt idx="3">
                  <c:v>21</c:v>
                </c:pt>
                <c:pt idx="4">
                  <c:v>32</c:v>
                </c:pt>
                <c:pt idx="5">
                  <c:v>27</c:v>
                </c:pt>
              </c:numCache>
            </c:numRef>
          </c:val>
          <c:smooth val="0"/>
          <c:extLst xmlns:c16r2="http://schemas.microsoft.com/office/drawing/2015/06/chart">
            <c:ext xmlns:c16="http://schemas.microsoft.com/office/drawing/2014/chart" uri="{C3380CC4-5D6E-409C-BE32-E72D297353CC}">
              <c16:uniqueId val="{00000001-19F9-41B1-ADDD-D78A37300454}"/>
            </c:ext>
          </c:extLst>
        </c:ser>
        <c:ser>
          <c:idx val="2"/>
          <c:order val="2"/>
          <c:tx>
            <c:strRef>
              <c:f>Sheet1!$D$1</c:f>
              <c:strCache>
                <c:ptCount val="1"/>
                <c:pt idx="0">
                  <c:v>Column1</c:v>
                </c:pt>
              </c:strCache>
            </c:strRef>
          </c:tx>
          <c:cat>
            <c:strRef>
              <c:f>Sheet1!$A$2:$A$7</c:f>
              <c:strCache>
                <c:ptCount val="6"/>
                <c:pt idx="0">
                  <c:v>Grade 1</c:v>
                </c:pt>
                <c:pt idx="1">
                  <c:v>Grade 2</c:v>
                </c:pt>
                <c:pt idx="2">
                  <c:v>Grade 3</c:v>
                </c:pt>
                <c:pt idx="3">
                  <c:v>Grade 4</c:v>
                </c:pt>
                <c:pt idx="4">
                  <c:v>Grade 5</c:v>
                </c:pt>
                <c:pt idx="5">
                  <c:v>Grade 6</c:v>
                </c:pt>
              </c:strCache>
            </c:strRef>
          </c:cat>
          <c:val>
            <c:numRef>
              <c:f>Sheet1!$D$2:$D$7</c:f>
              <c:numCache>
                <c:formatCode>General</c:formatCode>
                <c:ptCount val="6"/>
              </c:numCache>
            </c:numRef>
          </c:val>
          <c:smooth val="0"/>
          <c:extLst xmlns:c16r2="http://schemas.microsoft.com/office/drawing/2015/06/chart">
            <c:ext xmlns:c16="http://schemas.microsoft.com/office/drawing/2014/chart" uri="{C3380CC4-5D6E-409C-BE32-E72D297353CC}">
              <c16:uniqueId val="{00000002-19F9-41B1-ADDD-D78A37300454}"/>
            </c:ext>
          </c:extLst>
        </c:ser>
        <c:ser>
          <c:idx val="3"/>
          <c:order val="3"/>
          <c:tx>
            <c:strRef>
              <c:f>Sheet1!$E$1</c:f>
              <c:strCache>
                <c:ptCount val="1"/>
              </c:strCache>
            </c:strRef>
          </c:tx>
          <c:cat>
            <c:strRef>
              <c:f>Sheet1!$A$2:$A$7</c:f>
              <c:strCache>
                <c:ptCount val="6"/>
                <c:pt idx="0">
                  <c:v>Grade 1</c:v>
                </c:pt>
                <c:pt idx="1">
                  <c:v>Grade 2</c:v>
                </c:pt>
                <c:pt idx="2">
                  <c:v>Grade 3</c:v>
                </c:pt>
                <c:pt idx="3">
                  <c:v>Grade 4</c:v>
                </c:pt>
                <c:pt idx="4">
                  <c:v>Grade 5</c:v>
                </c:pt>
                <c:pt idx="5">
                  <c:v>Grade 6</c:v>
                </c:pt>
              </c:strCache>
            </c:strRef>
          </c:cat>
          <c:val>
            <c:numRef>
              <c:f>Sheet1!$E$2:$E$7</c:f>
              <c:numCache>
                <c:formatCode>General</c:formatCode>
                <c:ptCount val="6"/>
              </c:numCache>
            </c:numRef>
          </c:val>
          <c:smooth val="0"/>
          <c:extLst xmlns:c16r2="http://schemas.microsoft.com/office/drawing/2015/06/chart">
            <c:ext xmlns:c16="http://schemas.microsoft.com/office/drawing/2014/chart" uri="{C3380CC4-5D6E-409C-BE32-E72D297353CC}">
              <c16:uniqueId val="{00000003-19F9-41B1-ADDD-D78A37300454}"/>
            </c:ext>
          </c:extLst>
        </c:ser>
        <c:dLbls>
          <c:showLegendKey val="0"/>
          <c:showVal val="0"/>
          <c:showCatName val="0"/>
          <c:showSerName val="0"/>
          <c:showPercent val="0"/>
          <c:showBubbleSize val="0"/>
        </c:dLbls>
        <c:marker val="1"/>
        <c:smooth val="0"/>
        <c:axId val="442290096"/>
        <c:axId val="442290488"/>
      </c:lineChart>
      <c:catAx>
        <c:axId val="442290096"/>
        <c:scaling>
          <c:orientation val="minMax"/>
        </c:scaling>
        <c:delete val="0"/>
        <c:axPos val="b"/>
        <c:numFmt formatCode="General" sourceLinked="0"/>
        <c:majorTickMark val="out"/>
        <c:minorTickMark val="none"/>
        <c:tickLblPos val="nextTo"/>
        <c:crossAx val="442290488"/>
        <c:crosses val="autoZero"/>
        <c:auto val="1"/>
        <c:lblAlgn val="ctr"/>
        <c:lblOffset val="100"/>
        <c:noMultiLvlLbl val="0"/>
      </c:catAx>
      <c:valAx>
        <c:axId val="442290488"/>
        <c:scaling>
          <c:orientation val="minMax"/>
        </c:scaling>
        <c:delete val="0"/>
        <c:axPos val="l"/>
        <c:majorGridlines/>
        <c:numFmt formatCode="General" sourceLinked="1"/>
        <c:majorTickMark val="out"/>
        <c:minorTickMark val="none"/>
        <c:tickLblPos val="nextTo"/>
        <c:crossAx val="442290096"/>
        <c:crosses val="autoZero"/>
        <c:crossBetween val="between"/>
      </c:valAx>
    </c:plotArea>
    <c:legend>
      <c:legendPos val="r"/>
      <c:legendEntry>
        <c:idx val="2"/>
        <c:delete val="1"/>
      </c:legendEntry>
      <c:legendEntry>
        <c:idx val="3"/>
        <c:delete val="1"/>
      </c:legendEntry>
      <c:layout>
        <c:manualLayout>
          <c:xMode val="edge"/>
          <c:yMode val="edge"/>
          <c:x val="0.71233333333333404"/>
          <c:y val="0.229946048410618"/>
          <c:w val="0.26266666666666699"/>
          <c:h val="0.2793132108486510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Sheet1!$B$165:$B$166</c:f>
              <c:strCache>
                <c:ptCount val="1"/>
                <c:pt idx="0">
                  <c:v>Positive school experiences among general education students</c:v>
                </c:pt>
              </c:strCache>
            </c:strRef>
          </c:tx>
          <c:cat>
            <c:strRef>
              <c:f>Sheet1!$A$167:$A$172</c:f>
              <c:strCache>
                <c:ptCount val="6"/>
                <c:pt idx="0">
                  <c:v>Grade 1</c:v>
                </c:pt>
                <c:pt idx="1">
                  <c:v>Grade 2</c:v>
                </c:pt>
                <c:pt idx="2">
                  <c:v>Grade 3</c:v>
                </c:pt>
                <c:pt idx="3">
                  <c:v>Grade 4</c:v>
                </c:pt>
                <c:pt idx="4">
                  <c:v>Grade 5</c:v>
                </c:pt>
                <c:pt idx="5">
                  <c:v>Grade 6</c:v>
                </c:pt>
              </c:strCache>
            </c:strRef>
          </c:cat>
          <c:val>
            <c:numRef>
              <c:f>Sheet1!$B$167:$B$172</c:f>
              <c:numCache>
                <c:formatCode>General</c:formatCode>
                <c:ptCount val="6"/>
                <c:pt idx="0">
                  <c:v>41</c:v>
                </c:pt>
                <c:pt idx="1">
                  <c:v>37</c:v>
                </c:pt>
                <c:pt idx="2">
                  <c:v>41</c:v>
                </c:pt>
                <c:pt idx="3">
                  <c:v>36</c:v>
                </c:pt>
                <c:pt idx="4">
                  <c:v>39</c:v>
                </c:pt>
                <c:pt idx="5">
                  <c:v>67</c:v>
                </c:pt>
              </c:numCache>
            </c:numRef>
          </c:val>
          <c:smooth val="0"/>
          <c:extLst xmlns:c16r2="http://schemas.microsoft.com/office/drawing/2015/06/chart">
            <c:ext xmlns:c16="http://schemas.microsoft.com/office/drawing/2014/chart" uri="{C3380CC4-5D6E-409C-BE32-E72D297353CC}">
              <c16:uniqueId val="{00000000-A571-42FB-824B-34677851E500}"/>
            </c:ext>
          </c:extLst>
        </c:ser>
        <c:ser>
          <c:idx val="1"/>
          <c:order val="1"/>
          <c:tx>
            <c:strRef>
              <c:f>Sheet1!$C$165:$C$166</c:f>
              <c:strCache>
                <c:ptCount val="1"/>
                <c:pt idx="0">
                  <c:v>Positive school experiences among students with special needs</c:v>
                </c:pt>
              </c:strCache>
            </c:strRef>
          </c:tx>
          <c:cat>
            <c:strRef>
              <c:f>Sheet1!$A$167:$A$172</c:f>
              <c:strCache>
                <c:ptCount val="6"/>
                <c:pt idx="0">
                  <c:v>Grade 1</c:v>
                </c:pt>
                <c:pt idx="1">
                  <c:v>Grade 2</c:v>
                </c:pt>
                <c:pt idx="2">
                  <c:v>Grade 3</c:v>
                </c:pt>
                <c:pt idx="3">
                  <c:v>Grade 4</c:v>
                </c:pt>
                <c:pt idx="4">
                  <c:v>Grade 5</c:v>
                </c:pt>
                <c:pt idx="5">
                  <c:v>Grade 6</c:v>
                </c:pt>
              </c:strCache>
            </c:strRef>
          </c:cat>
          <c:val>
            <c:numRef>
              <c:f>Sheet1!$C$167:$C$172</c:f>
              <c:numCache>
                <c:formatCode>General</c:formatCode>
                <c:ptCount val="6"/>
                <c:pt idx="0">
                  <c:v>3</c:v>
                </c:pt>
                <c:pt idx="1">
                  <c:v>5</c:v>
                </c:pt>
                <c:pt idx="2">
                  <c:v>6</c:v>
                </c:pt>
                <c:pt idx="3">
                  <c:v>3</c:v>
                </c:pt>
                <c:pt idx="4">
                  <c:v>4</c:v>
                </c:pt>
                <c:pt idx="5">
                  <c:v>16</c:v>
                </c:pt>
              </c:numCache>
            </c:numRef>
          </c:val>
          <c:smooth val="0"/>
          <c:extLst xmlns:c16r2="http://schemas.microsoft.com/office/drawing/2015/06/chart">
            <c:ext xmlns:c16="http://schemas.microsoft.com/office/drawing/2014/chart" uri="{C3380CC4-5D6E-409C-BE32-E72D297353CC}">
              <c16:uniqueId val="{00000001-A571-42FB-824B-34677851E500}"/>
            </c:ext>
          </c:extLst>
        </c:ser>
        <c:ser>
          <c:idx val="2"/>
          <c:order val="2"/>
          <c:tx>
            <c:strRef>
              <c:f>Sheet1!$D$165:$D$166</c:f>
              <c:strCache>
                <c:ptCount val="1"/>
                <c:pt idx="0">
                  <c:v>Negative school experiences among general education students</c:v>
                </c:pt>
              </c:strCache>
            </c:strRef>
          </c:tx>
          <c:cat>
            <c:strRef>
              <c:f>Sheet1!$A$167:$A$172</c:f>
              <c:strCache>
                <c:ptCount val="6"/>
                <c:pt idx="0">
                  <c:v>Grade 1</c:v>
                </c:pt>
                <c:pt idx="1">
                  <c:v>Grade 2</c:v>
                </c:pt>
                <c:pt idx="2">
                  <c:v>Grade 3</c:v>
                </c:pt>
                <c:pt idx="3">
                  <c:v>Grade 4</c:v>
                </c:pt>
                <c:pt idx="4">
                  <c:v>Grade 5</c:v>
                </c:pt>
                <c:pt idx="5">
                  <c:v>Grade 6</c:v>
                </c:pt>
              </c:strCache>
            </c:strRef>
          </c:cat>
          <c:val>
            <c:numRef>
              <c:f>Sheet1!$D$167:$D$172</c:f>
              <c:numCache>
                <c:formatCode>General</c:formatCode>
                <c:ptCount val="6"/>
                <c:pt idx="0">
                  <c:v>9</c:v>
                </c:pt>
                <c:pt idx="1">
                  <c:v>15</c:v>
                </c:pt>
                <c:pt idx="2">
                  <c:v>16</c:v>
                </c:pt>
                <c:pt idx="3">
                  <c:v>15</c:v>
                </c:pt>
                <c:pt idx="4">
                  <c:v>25</c:v>
                </c:pt>
                <c:pt idx="5">
                  <c:v>23</c:v>
                </c:pt>
              </c:numCache>
            </c:numRef>
          </c:val>
          <c:smooth val="0"/>
          <c:extLst xmlns:c16r2="http://schemas.microsoft.com/office/drawing/2015/06/chart">
            <c:ext xmlns:c16="http://schemas.microsoft.com/office/drawing/2014/chart" uri="{C3380CC4-5D6E-409C-BE32-E72D297353CC}">
              <c16:uniqueId val="{00000002-A571-42FB-824B-34677851E500}"/>
            </c:ext>
          </c:extLst>
        </c:ser>
        <c:ser>
          <c:idx val="3"/>
          <c:order val="3"/>
          <c:tx>
            <c:strRef>
              <c:f>Sheet1!$E$165:$E$166</c:f>
              <c:strCache>
                <c:ptCount val="1"/>
                <c:pt idx="0">
                  <c:v>Negative school experiences among students with special needs</c:v>
                </c:pt>
              </c:strCache>
            </c:strRef>
          </c:tx>
          <c:cat>
            <c:strRef>
              <c:f>Sheet1!$A$167:$A$172</c:f>
              <c:strCache>
                <c:ptCount val="6"/>
                <c:pt idx="0">
                  <c:v>Grade 1</c:v>
                </c:pt>
                <c:pt idx="1">
                  <c:v>Grade 2</c:v>
                </c:pt>
                <c:pt idx="2">
                  <c:v>Grade 3</c:v>
                </c:pt>
                <c:pt idx="3">
                  <c:v>Grade 4</c:v>
                </c:pt>
                <c:pt idx="4">
                  <c:v>Grade 5</c:v>
                </c:pt>
                <c:pt idx="5">
                  <c:v>Grade 6</c:v>
                </c:pt>
              </c:strCache>
            </c:strRef>
          </c:cat>
          <c:val>
            <c:numRef>
              <c:f>Sheet1!$E$167:$E$172</c:f>
              <c:numCache>
                <c:formatCode>General</c:formatCode>
                <c:ptCount val="6"/>
                <c:pt idx="0">
                  <c:v>5</c:v>
                </c:pt>
                <c:pt idx="1">
                  <c:v>4</c:v>
                </c:pt>
                <c:pt idx="2">
                  <c:v>5</c:v>
                </c:pt>
                <c:pt idx="3">
                  <c:v>6</c:v>
                </c:pt>
                <c:pt idx="4">
                  <c:v>7</c:v>
                </c:pt>
                <c:pt idx="5">
                  <c:v>4</c:v>
                </c:pt>
              </c:numCache>
            </c:numRef>
          </c:val>
          <c:smooth val="0"/>
          <c:extLst xmlns:c16r2="http://schemas.microsoft.com/office/drawing/2015/06/chart">
            <c:ext xmlns:c16="http://schemas.microsoft.com/office/drawing/2014/chart" uri="{C3380CC4-5D6E-409C-BE32-E72D297353CC}">
              <c16:uniqueId val="{00000003-A571-42FB-824B-34677851E500}"/>
            </c:ext>
          </c:extLst>
        </c:ser>
        <c:dLbls>
          <c:showLegendKey val="0"/>
          <c:showVal val="0"/>
          <c:showCatName val="0"/>
          <c:showSerName val="0"/>
          <c:showPercent val="0"/>
          <c:showBubbleSize val="0"/>
        </c:dLbls>
        <c:marker val="1"/>
        <c:smooth val="0"/>
        <c:axId val="442290880"/>
        <c:axId val="442293232"/>
      </c:lineChart>
      <c:catAx>
        <c:axId val="442290880"/>
        <c:scaling>
          <c:orientation val="minMax"/>
        </c:scaling>
        <c:delete val="0"/>
        <c:axPos val="b"/>
        <c:numFmt formatCode="General" sourceLinked="0"/>
        <c:majorTickMark val="out"/>
        <c:minorTickMark val="none"/>
        <c:tickLblPos val="nextTo"/>
        <c:crossAx val="442293232"/>
        <c:crosses val="autoZero"/>
        <c:auto val="1"/>
        <c:lblAlgn val="ctr"/>
        <c:lblOffset val="100"/>
        <c:noMultiLvlLbl val="0"/>
      </c:catAx>
      <c:valAx>
        <c:axId val="442293232"/>
        <c:scaling>
          <c:orientation val="minMax"/>
        </c:scaling>
        <c:delete val="0"/>
        <c:axPos val="l"/>
        <c:majorGridlines/>
        <c:numFmt formatCode="General" sourceLinked="1"/>
        <c:majorTickMark val="out"/>
        <c:minorTickMark val="none"/>
        <c:tickLblPos val="nextTo"/>
        <c:crossAx val="4422908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5AB9E6-A042-44B7-9362-BE429344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24</Pages>
  <Words>10387</Words>
  <Characters>59207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69456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Dianne Chambers</cp:lastModifiedBy>
  <cp:revision>11</cp:revision>
  <cp:lastPrinted>2016-12-21T18:07:00Z</cp:lastPrinted>
  <dcterms:created xsi:type="dcterms:W3CDTF">2016-12-26T13:30:00Z</dcterms:created>
  <dcterms:modified xsi:type="dcterms:W3CDTF">2017-05-13T13:49:00Z</dcterms:modified>
</cp:coreProperties>
</file>